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30B573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阿图什市哈拉峻乡卫生院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1EC5B0">
      <w:r>
        <w:br w:type="page"/>
      </w:r>
    </w:p>
    <w:p w14:paraId="41296AE8">
      <w:pPr>
        <w:spacing w:line="640" w:lineRule="exact"/>
        <w:jc w:val="center"/>
        <w:outlineLvl w:val="1"/>
      </w:pPr>
      <w:r>
        <w:rPr>
          <w:rFonts w:ascii="黑体" w:hAnsi="黑体" w:eastAsia="黑体"/>
          <w:sz w:val="32"/>
        </w:rPr>
        <w:t>第一部分 单位概况</w:t>
      </w:r>
    </w:p>
    <w:p w14:paraId="6CE5A2A3">
      <w:pPr>
        <w:spacing w:line="640" w:lineRule="exact"/>
        <w:ind w:firstLine="640"/>
        <w:jc w:val="both"/>
        <w:outlineLvl w:val="2"/>
      </w:pPr>
      <w:r>
        <w:rPr>
          <w:rFonts w:ascii="黑体" w:hAnsi="黑体" w:eastAsia="黑体"/>
          <w:sz w:val="32"/>
        </w:rPr>
        <w:t>一、主要职能</w:t>
      </w:r>
    </w:p>
    <w:p w14:paraId="761A5EF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为</w:t>
      </w:r>
      <w:r>
        <w:rPr>
          <w:rFonts w:hint="eastAsia" w:ascii="仿宋_GB2312" w:hAnsi="仿宋_GB2312" w:eastAsia="仿宋_GB2312"/>
          <w:sz w:val="32"/>
          <w:lang w:eastAsia="zh-CN"/>
        </w:rPr>
        <w:t>全民</w:t>
      </w:r>
      <w:r>
        <w:rPr>
          <w:rFonts w:ascii="仿宋_GB2312" w:hAnsi="仿宋_GB2312" w:eastAsia="仿宋_GB2312"/>
          <w:sz w:val="32"/>
        </w:rPr>
        <w:t>康复服务日常工作。</w:t>
      </w:r>
    </w:p>
    <w:p w14:paraId="260130E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为城乡居民，职工人员等医疗工作</w:t>
      </w:r>
      <w:r>
        <w:rPr>
          <w:rFonts w:hint="eastAsia" w:ascii="仿宋_GB2312" w:hAnsi="仿宋_GB2312" w:eastAsia="仿宋_GB2312"/>
          <w:sz w:val="32"/>
          <w:lang w:eastAsia="zh-CN"/>
        </w:rPr>
        <w:t>提供保障。</w:t>
      </w:r>
    </w:p>
    <w:p w14:paraId="0435833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为全民人员基本公共卫生14项服务工作。</w:t>
      </w:r>
    </w:p>
    <w:p w14:paraId="375FF51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为全民人员免费体检工作。</w:t>
      </w:r>
    </w:p>
    <w:p w14:paraId="3FBD29D8">
      <w:pPr>
        <w:spacing w:line="640" w:lineRule="exact"/>
        <w:ind w:firstLine="640"/>
        <w:jc w:val="both"/>
        <w:outlineLvl w:val="2"/>
      </w:pPr>
      <w:r>
        <w:rPr>
          <w:rFonts w:ascii="黑体" w:hAnsi="黑体" w:eastAsia="黑体"/>
          <w:sz w:val="32"/>
        </w:rPr>
        <w:t>二、机构设置及人员情况</w:t>
      </w:r>
    </w:p>
    <w:p w14:paraId="39A1F5FF">
      <w:pPr>
        <w:spacing w:line="580" w:lineRule="exact"/>
        <w:ind w:firstLine="640"/>
        <w:jc w:val="both"/>
      </w:pPr>
      <w:r>
        <w:rPr>
          <w:rFonts w:ascii="仿宋_GB2312" w:hAnsi="仿宋_GB2312" w:eastAsia="仿宋_GB2312"/>
          <w:sz w:val="32"/>
        </w:rPr>
        <w:t>阿图什市哈拉峻乡卫生院2024年度，实有人数49人，其中：在职人员37人，减少29人；离休人员0人，增加0人；退休人员12人</w:t>
      </w:r>
      <w:r>
        <w:rPr>
          <w:rFonts w:hint="eastAsia" w:ascii="仿宋_GB2312" w:hAnsi="仿宋_GB2312" w:eastAsia="仿宋_GB2312"/>
          <w:sz w:val="32"/>
          <w:lang w:eastAsia="zh-CN"/>
        </w:rPr>
        <w:t>，</w:t>
      </w:r>
      <w:r>
        <w:rPr>
          <w:rFonts w:ascii="仿宋_GB2312" w:hAnsi="仿宋_GB2312" w:eastAsia="仿宋_GB2312"/>
          <w:sz w:val="32"/>
        </w:rPr>
        <w:t>增加1人。</w:t>
      </w:r>
    </w:p>
    <w:p w14:paraId="20BE0A94">
      <w:pPr>
        <w:spacing w:line="580" w:lineRule="exact"/>
        <w:ind w:firstLine="640"/>
        <w:jc w:val="both"/>
      </w:pPr>
      <w:r>
        <w:rPr>
          <w:rFonts w:ascii="仿宋_GB2312" w:hAnsi="仿宋_GB2312" w:eastAsia="仿宋_GB2312"/>
          <w:sz w:val="32"/>
        </w:rPr>
        <w:t>阿图什市哈拉峻乡卫生院无下属预算单位，下设8个科室，分别是：财务室、公共卫生科、妇幼保健科、防疫科、体检科、院感科、行政办公室、中医科。</w:t>
      </w:r>
    </w:p>
    <w:p w14:paraId="3FF56D47">
      <w:r>
        <w:br w:type="page"/>
      </w:r>
    </w:p>
    <w:p w14:paraId="18E314BB">
      <w:pPr>
        <w:spacing w:line="240" w:lineRule="auto"/>
        <w:jc w:val="center"/>
        <w:outlineLvl w:val="1"/>
      </w:pPr>
      <w:r>
        <w:rPr>
          <w:rFonts w:ascii="黑体" w:hAnsi="黑体" w:eastAsia="黑体"/>
          <w:sz w:val="32"/>
        </w:rPr>
        <w:t>第二部分 部门决算情况说明</w:t>
      </w:r>
    </w:p>
    <w:p w14:paraId="01E07FE5">
      <w:pPr>
        <w:spacing w:line="640" w:lineRule="exact"/>
        <w:ind w:firstLine="640"/>
        <w:jc w:val="both"/>
        <w:outlineLvl w:val="2"/>
      </w:pPr>
      <w:r>
        <w:rPr>
          <w:rFonts w:ascii="黑体" w:hAnsi="黑体" w:eastAsia="黑体"/>
          <w:sz w:val="32"/>
        </w:rPr>
        <w:t>一、收入支出决算总体情况说明</w:t>
      </w:r>
    </w:p>
    <w:p w14:paraId="65DDB0D1">
      <w:pPr>
        <w:spacing w:line="580" w:lineRule="exact"/>
        <w:ind w:firstLine="640"/>
        <w:jc w:val="both"/>
      </w:pPr>
      <w:r>
        <w:rPr>
          <w:rFonts w:ascii="仿宋_GB2312" w:hAnsi="仿宋_GB2312" w:eastAsia="仿宋_GB2312"/>
          <w:b/>
          <w:sz w:val="32"/>
        </w:rPr>
        <w:t>2024年度收入总计1,302.70万元，</w:t>
      </w:r>
      <w:r>
        <w:rPr>
          <w:rFonts w:ascii="仿宋_GB2312" w:hAnsi="仿宋_GB2312" w:eastAsia="仿宋_GB2312"/>
          <w:b w:val="0"/>
          <w:sz w:val="32"/>
        </w:rPr>
        <w:t>其中：本年收入合计1,282.60万元，使用非财政拨款结余（含专用结余）20.10万元，年初结转和结余0.00万元。</w:t>
      </w:r>
    </w:p>
    <w:p w14:paraId="22B7A3E3">
      <w:pPr>
        <w:spacing w:line="580" w:lineRule="exact"/>
        <w:ind w:firstLine="640"/>
        <w:jc w:val="both"/>
      </w:pPr>
      <w:r>
        <w:rPr>
          <w:rFonts w:ascii="仿宋_GB2312" w:hAnsi="仿宋_GB2312" w:eastAsia="仿宋_GB2312"/>
          <w:b/>
          <w:sz w:val="32"/>
        </w:rPr>
        <w:t>2024年度支出总计1,302.70万元，</w:t>
      </w:r>
      <w:r>
        <w:rPr>
          <w:rFonts w:ascii="仿宋_GB2312" w:hAnsi="仿宋_GB2312" w:eastAsia="仿宋_GB2312"/>
          <w:b w:val="0"/>
          <w:sz w:val="32"/>
        </w:rPr>
        <w:t>其中：本年支出合计1,302.70万元，结余分配0.00万元，年末结转和结余0.00万元。</w:t>
      </w:r>
    </w:p>
    <w:p w14:paraId="3EAE4032">
      <w:pPr>
        <w:spacing w:line="580" w:lineRule="exact"/>
        <w:ind w:firstLine="640"/>
        <w:jc w:val="both"/>
      </w:pPr>
      <w:r>
        <w:rPr>
          <w:rFonts w:ascii="仿宋_GB2312" w:hAnsi="仿宋_GB2312" w:eastAsia="仿宋_GB2312"/>
          <w:b w:val="0"/>
          <w:sz w:val="32"/>
        </w:rPr>
        <w:t>收入支出总体与上年相比，增加2.62万元，增长0.20%，主要原因是：本年在职人员工资调增，社保、公积金基数调增，人员经费增加。</w:t>
      </w:r>
    </w:p>
    <w:p w14:paraId="7DCAB8C3">
      <w:pPr>
        <w:spacing w:line="640" w:lineRule="exact"/>
        <w:ind w:firstLine="640"/>
        <w:jc w:val="both"/>
        <w:outlineLvl w:val="2"/>
      </w:pPr>
      <w:r>
        <w:rPr>
          <w:rFonts w:ascii="黑体" w:hAnsi="黑体" w:eastAsia="黑体"/>
          <w:sz w:val="32"/>
        </w:rPr>
        <w:t>二、收入决算情况说明</w:t>
      </w:r>
    </w:p>
    <w:p w14:paraId="6BC4D161">
      <w:pPr>
        <w:spacing w:line="580" w:lineRule="exact"/>
        <w:ind w:firstLine="640"/>
        <w:jc w:val="both"/>
      </w:pPr>
      <w:r>
        <w:rPr>
          <w:rFonts w:ascii="仿宋_GB2312" w:hAnsi="仿宋_GB2312" w:eastAsia="仿宋_GB2312"/>
          <w:b/>
          <w:sz w:val="32"/>
        </w:rPr>
        <w:t>本年收入1,282.60万元，</w:t>
      </w:r>
      <w:r>
        <w:rPr>
          <w:rFonts w:ascii="仿宋_GB2312" w:hAnsi="仿宋_GB2312" w:eastAsia="仿宋_GB2312"/>
          <w:b w:val="0"/>
          <w:sz w:val="32"/>
        </w:rPr>
        <w:t>其中：财政拨款收入877.52万元，占68.42%；上级补助收入0.00万元，占0.00%；事业收入393.69万元，占30.69%；经营收入0.00万元，占0.00%；附属单位上缴收入0.00万元，占0.00%；其他收入11.40万元，占0.89%。</w:t>
      </w:r>
    </w:p>
    <w:p w14:paraId="461335B6">
      <w:pPr>
        <w:spacing w:line="640" w:lineRule="exact"/>
        <w:ind w:firstLine="640"/>
        <w:jc w:val="both"/>
        <w:outlineLvl w:val="2"/>
      </w:pPr>
      <w:r>
        <w:rPr>
          <w:rFonts w:ascii="黑体" w:hAnsi="黑体" w:eastAsia="黑体"/>
          <w:sz w:val="32"/>
        </w:rPr>
        <w:t>三、支出决算情况说明</w:t>
      </w:r>
    </w:p>
    <w:p w14:paraId="3344D0AE">
      <w:pPr>
        <w:spacing w:line="580" w:lineRule="exact"/>
        <w:ind w:firstLine="640"/>
        <w:jc w:val="both"/>
      </w:pPr>
      <w:r>
        <w:rPr>
          <w:rFonts w:ascii="仿宋_GB2312" w:hAnsi="仿宋_GB2312" w:eastAsia="仿宋_GB2312"/>
          <w:b/>
          <w:sz w:val="32"/>
        </w:rPr>
        <w:t>本年支出1,302.70万元，</w:t>
      </w:r>
      <w:r>
        <w:rPr>
          <w:rFonts w:ascii="仿宋_GB2312" w:hAnsi="仿宋_GB2312" w:eastAsia="仿宋_GB2312"/>
          <w:b w:val="0"/>
          <w:sz w:val="32"/>
        </w:rPr>
        <w:t>其中：基本支出1,025.22万元，占78.70%；项目支出277.48万元，占21.30%；上缴上级支出0.00万元，占0.00%；经营支出0.00万元，占0.00%；对附属单位补助支出0.00万元，占0.00%。</w:t>
      </w:r>
    </w:p>
    <w:p w14:paraId="056F9950">
      <w:pPr>
        <w:spacing w:line="640" w:lineRule="exact"/>
        <w:ind w:firstLine="640"/>
        <w:jc w:val="both"/>
        <w:outlineLvl w:val="2"/>
      </w:pPr>
      <w:r>
        <w:rPr>
          <w:rFonts w:ascii="黑体" w:hAnsi="黑体" w:eastAsia="黑体"/>
          <w:sz w:val="32"/>
        </w:rPr>
        <w:t>四、财政拨款收入支出决算总体情况说明</w:t>
      </w:r>
    </w:p>
    <w:p w14:paraId="22FBE4C8">
      <w:pPr>
        <w:spacing w:line="580" w:lineRule="exact"/>
        <w:ind w:firstLine="640"/>
        <w:jc w:val="both"/>
      </w:pPr>
      <w:r>
        <w:rPr>
          <w:rFonts w:ascii="仿宋_GB2312" w:hAnsi="仿宋_GB2312" w:eastAsia="仿宋_GB2312"/>
          <w:b/>
          <w:sz w:val="32"/>
        </w:rPr>
        <w:t>2024年度财政拨款收入总计877.52万元，</w:t>
      </w:r>
      <w:r>
        <w:rPr>
          <w:rFonts w:ascii="仿宋_GB2312" w:hAnsi="仿宋_GB2312" w:eastAsia="仿宋_GB2312"/>
          <w:b w:val="0"/>
          <w:sz w:val="32"/>
        </w:rPr>
        <w:t>其中：年初财政拨款结转和结余0.00万元，本年财政拨款收入877.52万元。</w:t>
      </w:r>
      <w:r>
        <w:rPr>
          <w:rFonts w:ascii="仿宋_GB2312" w:hAnsi="仿宋_GB2312" w:eastAsia="仿宋_GB2312"/>
          <w:b/>
          <w:sz w:val="32"/>
        </w:rPr>
        <w:t>财政拨款支出总计877.52万元，</w:t>
      </w:r>
      <w:r>
        <w:rPr>
          <w:rFonts w:ascii="仿宋_GB2312" w:hAnsi="仿宋_GB2312" w:eastAsia="仿宋_GB2312"/>
          <w:b w:val="0"/>
          <w:sz w:val="32"/>
        </w:rPr>
        <w:t>其中：年末财政拨款结转和结余0.00万元，本年财政拨款支出877.52万元。</w:t>
      </w:r>
    </w:p>
    <w:p w14:paraId="1B509E8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增加9.44万元，增长1.09%，主要原因是：本年在职人员工资调增，社保、公积金基数调增，人员经费增加。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年初预算数835.53万元，决算数877.52万元，预决算差异率5.03%，主要原因是：年中追加人员工资、社保、公积金基数调增部分资金，导致预决算存在差异。</w:t>
      </w:r>
    </w:p>
    <w:p w14:paraId="2B2DB40E">
      <w:pPr>
        <w:spacing w:line="640" w:lineRule="exact"/>
        <w:ind w:firstLine="640"/>
        <w:jc w:val="both"/>
        <w:outlineLvl w:val="2"/>
      </w:pPr>
      <w:r>
        <w:rPr>
          <w:rFonts w:ascii="黑体" w:hAnsi="黑体" w:eastAsia="黑体"/>
          <w:sz w:val="32"/>
        </w:rPr>
        <w:t>五、一般公共预算财政拨款支出决算情况说明</w:t>
      </w:r>
    </w:p>
    <w:p w14:paraId="2410F22D">
      <w:pPr>
        <w:spacing w:line="640" w:lineRule="exact"/>
        <w:ind w:firstLine="640"/>
        <w:jc w:val="both"/>
        <w:outlineLvl w:val="3"/>
      </w:pPr>
      <w:r>
        <w:rPr>
          <w:rFonts w:ascii="楷体_GB2312" w:hAnsi="楷体_GB2312" w:eastAsia="楷体_GB2312"/>
          <w:b/>
          <w:sz w:val="32"/>
        </w:rPr>
        <w:t>（一）一般公共预算财政拨款支出决算总体情况</w:t>
      </w:r>
    </w:p>
    <w:p w14:paraId="160610B2">
      <w:pPr>
        <w:spacing w:line="580" w:lineRule="exact"/>
        <w:ind w:firstLine="640"/>
        <w:jc w:val="both"/>
      </w:pPr>
      <w:r>
        <w:rPr>
          <w:rFonts w:ascii="仿宋_GB2312" w:hAnsi="仿宋_GB2312" w:eastAsia="仿宋_GB2312"/>
          <w:b/>
          <w:sz w:val="32"/>
        </w:rPr>
        <w:t>2024年度一般公共预算财政拨款支出874.41万元，</w:t>
      </w:r>
      <w:r>
        <w:rPr>
          <w:rFonts w:ascii="仿宋_GB2312" w:hAnsi="仿宋_GB2312" w:eastAsia="仿宋_GB2312"/>
          <w:b w:val="0"/>
          <w:sz w:val="32"/>
        </w:rPr>
        <w:t>占本年支出合计的67.12%。</w:t>
      </w:r>
      <w:r>
        <w:rPr>
          <w:rFonts w:ascii="仿宋_GB2312" w:hAnsi="仿宋_GB2312" w:eastAsia="仿宋_GB2312"/>
          <w:b/>
          <w:sz w:val="32"/>
        </w:rPr>
        <w:t>与上年相比，</w:t>
      </w:r>
      <w:r>
        <w:rPr>
          <w:rFonts w:ascii="仿宋_GB2312" w:hAnsi="仿宋_GB2312" w:eastAsia="仿宋_GB2312"/>
          <w:b w:val="0"/>
          <w:sz w:val="32"/>
        </w:rPr>
        <w:t>增加10.19万元，增长1.18%，主要原因是：本年在职人员工资调增，社保、公积金基数调增，人员经费增加。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年初预算数834.16万元，决算数874.41万元，预决算差异率4.83%，主要原因是：年中追加人员工资、社保、公积金基数调增部分资金，导致预决算存在差异。</w:t>
      </w:r>
    </w:p>
    <w:p w14:paraId="50F64FCF">
      <w:pPr>
        <w:spacing w:line="640" w:lineRule="exact"/>
        <w:ind w:firstLine="640"/>
        <w:jc w:val="both"/>
        <w:outlineLvl w:val="3"/>
      </w:pPr>
      <w:r>
        <w:rPr>
          <w:rFonts w:ascii="楷体_GB2312" w:hAnsi="楷体_GB2312" w:eastAsia="楷体_GB2312"/>
          <w:b/>
          <w:sz w:val="32"/>
        </w:rPr>
        <w:t>（二）一般公共预算财政拨款支出决算结构情况</w:t>
      </w:r>
    </w:p>
    <w:p w14:paraId="34212567">
      <w:pPr>
        <w:spacing w:line="580" w:lineRule="exact"/>
        <w:ind w:firstLine="640"/>
        <w:jc w:val="both"/>
      </w:pPr>
      <w:r>
        <w:rPr>
          <w:rFonts w:ascii="仿宋_GB2312" w:hAnsi="仿宋_GB2312" w:eastAsia="仿宋_GB2312"/>
          <w:b w:val="0"/>
          <w:sz w:val="32"/>
        </w:rPr>
        <w:t>1.社会保障和就业支出(类)76.78万元</w:t>
      </w:r>
      <w:r>
        <w:rPr>
          <w:rFonts w:hint="eastAsia" w:ascii="仿宋_GB2312" w:hAnsi="仿宋_GB2312" w:eastAsia="仿宋_GB2312"/>
          <w:b w:val="0"/>
          <w:sz w:val="32"/>
          <w:lang w:eastAsia="zh-CN"/>
        </w:rPr>
        <w:t>，</w:t>
      </w:r>
      <w:r>
        <w:rPr>
          <w:rFonts w:ascii="仿宋_GB2312" w:hAnsi="仿宋_GB2312" w:eastAsia="仿宋_GB2312"/>
          <w:b w:val="0"/>
          <w:sz w:val="32"/>
        </w:rPr>
        <w:t>占8.78%。</w:t>
      </w:r>
    </w:p>
    <w:p w14:paraId="72FC721F">
      <w:pPr>
        <w:spacing w:line="580" w:lineRule="exact"/>
        <w:ind w:firstLine="640"/>
        <w:jc w:val="both"/>
      </w:pPr>
      <w:r>
        <w:rPr>
          <w:rFonts w:ascii="仿宋_GB2312" w:hAnsi="仿宋_GB2312" w:eastAsia="仿宋_GB2312"/>
          <w:b w:val="0"/>
          <w:sz w:val="32"/>
        </w:rPr>
        <w:t>2.卫生健康支出(类)752.23万元</w:t>
      </w:r>
      <w:r>
        <w:rPr>
          <w:rFonts w:hint="eastAsia" w:ascii="仿宋_GB2312" w:hAnsi="仿宋_GB2312" w:eastAsia="仿宋_GB2312"/>
          <w:b w:val="0"/>
          <w:sz w:val="32"/>
          <w:lang w:eastAsia="zh-CN"/>
        </w:rPr>
        <w:t>，</w:t>
      </w:r>
      <w:r>
        <w:rPr>
          <w:rFonts w:ascii="仿宋_GB2312" w:hAnsi="仿宋_GB2312" w:eastAsia="仿宋_GB2312"/>
          <w:b w:val="0"/>
          <w:sz w:val="32"/>
        </w:rPr>
        <w:t>占86.03%。</w:t>
      </w:r>
    </w:p>
    <w:p w14:paraId="3E64AEB5">
      <w:pPr>
        <w:spacing w:line="580" w:lineRule="exact"/>
        <w:ind w:firstLine="640"/>
        <w:jc w:val="both"/>
      </w:pPr>
      <w:r>
        <w:rPr>
          <w:rFonts w:ascii="仿宋_GB2312" w:hAnsi="仿宋_GB2312" w:eastAsia="仿宋_GB2312"/>
          <w:b w:val="0"/>
          <w:sz w:val="32"/>
        </w:rPr>
        <w:t>3.住房保障支出(类)45.40万元</w:t>
      </w:r>
      <w:r>
        <w:rPr>
          <w:rFonts w:hint="eastAsia" w:ascii="仿宋_GB2312" w:hAnsi="仿宋_GB2312" w:eastAsia="仿宋_GB2312"/>
          <w:b w:val="0"/>
          <w:sz w:val="32"/>
          <w:lang w:eastAsia="zh-CN"/>
        </w:rPr>
        <w:t>，</w:t>
      </w:r>
      <w:r>
        <w:rPr>
          <w:rFonts w:ascii="仿宋_GB2312" w:hAnsi="仿宋_GB2312" w:eastAsia="仿宋_GB2312"/>
          <w:b w:val="0"/>
          <w:sz w:val="32"/>
        </w:rPr>
        <w:t>占5.19%。</w:t>
      </w:r>
    </w:p>
    <w:p w14:paraId="6CDAAA38">
      <w:pPr>
        <w:spacing w:line="640" w:lineRule="exact"/>
        <w:ind w:firstLine="640"/>
        <w:jc w:val="both"/>
        <w:outlineLvl w:val="3"/>
      </w:pPr>
      <w:r>
        <w:rPr>
          <w:rFonts w:ascii="楷体_GB2312" w:hAnsi="楷体_GB2312" w:eastAsia="楷体_GB2312"/>
          <w:b/>
          <w:sz w:val="32"/>
        </w:rPr>
        <w:t>（三）一般公共预算财政拨款支出决算具体情况</w:t>
      </w:r>
    </w:p>
    <w:p w14:paraId="12786664">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支出决算数为14.90万元，比上年决算增加3.87万元，增长35.09%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主要原因是：本年退休人员绩效增加，导致退休费较上年增加。</w:t>
      </w:r>
    </w:p>
    <w:p w14:paraId="3BDE25D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支出决算数为54.13万元，比上年决算增加1.76万元，增长3.36%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6CCDB0C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支出决算数为7.38万元，比上年决算增加1.96万元，增长36.16%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14:paraId="3B0C8AA0">
      <w:pPr>
        <w:spacing w:line="580" w:lineRule="exact"/>
        <w:ind w:firstLine="640"/>
        <w:jc w:val="both"/>
      </w:pPr>
      <w:r>
        <w:rPr>
          <w:rFonts w:ascii="仿宋_GB2312" w:hAnsi="仿宋_GB2312" w:eastAsia="仿宋_GB2312"/>
          <w:b w:val="0"/>
          <w:sz w:val="32"/>
        </w:rPr>
        <w:t>4.社会保障和就业支出(类)社会福利(款)老年福利(项)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支出决算数为0.37万元，比上年决算增加0.37万元，增长100.00%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主要原因是：本年增加80岁以上高龄老人基本生活和免费体检项目经费，导致此科目经费增加。</w:t>
      </w:r>
    </w:p>
    <w:p w14:paraId="4A2A49E4">
      <w:pPr>
        <w:spacing w:line="580" w:lineRule="exact"/>
        <w:ind w:firstLine="640"/>
        <w:jc w:val="both"/>
      </w:pPr>
      <w:r>
        <w:rPr>
          <w:rFonts w:ascii="仿宋_GB2312" w:hAnsi="仿宋_GB2312" w:eastAsia="仿宋_GB2312"/>
          <w:b w:val="0"/>
          <w:sz w:val="32"/>
        </w:rPr>
        <w:t>5.卫生健康支出(类)基层医疗卫生机构(款)乡镇卫生院(项)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支出决算数为459.69万元，比上年决算增加19.11万元，增长4.34%</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主要原因是：人员工资基数调增，相应基本支出增加。</w:t>
      </w:r>
    </w:p>
    <w:p w14:paraId="7C495D21">
      <w:pPr>
        <w:spacing w:line="580" w:lineRule="exact"/>
        <w:ind w:firstLine="640"/>
        <w:jc w:val="both"/>
      </w:pPr>
      <w:r>
        <w:rPr>
          <w:rFonts w:ascii="仿宋_GB2312" w:hAnsi="仿宋_GB2312" w:eastAsia="仿宋_GB2312"/>
          <w:b w:val="0"/>
          <w:sz w:val="32"/>
        </w:rPr>
        <w:t>6.卫生健康支出(类)基层医疗卫生机构(款)其他基层医疗卫生机构支出(项)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支出决算数为21.30万元，比上年决算减少4.37万元，下降17.02%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主要原因是：本年减少基本药物补助资金项目。</w:t>
      </w:r>
    </w:p>
    <w:p w14:paraId="3B427B1D">
      <w:pPr>
        <w:spacing w:line="580" w:lineRule="exact"/>
        <w:ind w:firstLine="640"/>
        <w:jc w:val="both"/>
      </w:pPr>
      <w:r>
        <w:rPr>
          <w:rFonts w:ascii="仿宋_GB2312" w:hAnsi="仿宋_GB2312" w:eastAsia="仿宋_GB2312"/>
          <w:b w:val="0"/>
          <w:sz w:val="32"/>
        </w:rPr>
        <w:t>7.卫生健康支出(类)公共卫生(款)基本公共卫生服务(项)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支出决算数为147.84万元，比上年决算减少29.21万元，下降16.50%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主要原因是：本年减少基本公共卫生服务补助资金项目。</w:t>
      </w:r>
    </w:p>
    <w:p w14:paraId="1182747E">
      <w:pPr>
        <w:spacing w:line="580" w:lineRule="exact"/>
        <w:ind w:firstLine="640"/>
        <w:jc w:val="both"/>
      </w:pPr>
      <w:r>
        <w:rPr>
          <w:rFonts w:ascii="仿宋_GB2312" w:hAnsi="仿宋_GB2312" w:eastAsia="仿宋_GB2312"/>
          <w:b w:val="0"/>
          <w:sz w:val="32"/>
        </w:rPr>
        <w:t>8.卫生健康支出(类)公共卫生(款)其他公共卫生支出(项)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支出决算数为104.86万元，比上年决算增加17.18万元，增长19.59%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主要原因是：本年增加公共卫生服务补助资金。</w:t>
      </w:r>
    </w:p>
    <w:p w14:paraId="5CCB098B">
      <w:pPr>
        <w:spacing w:line="580" w:lineRule="exact"/>
        <w:ind w:firstLine="640"/>
        <w:jc w:val="both"/>
      </w:pPr>
      <w:r>
        <w:rPr>
          <w:rFonts w:ascii="仿宋_GB2312" w:hAnsi="仿宋_GB2312" w:eastAsia="仿宋_GB2312"/>
          <w:b w:val="0"/>
          <w:sz w:val="32"/>
        </w:rPr>
        <w:t>9.卫生健康支出(类)行政事业单位医疗(款)事业单位医疗(项)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支出决算数为18.54万元，比上年决算减少1.97万元，下降9.61%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主要原因是：本年在职人员减少，事业单位医疗支出较上年减少。</w:t>
      </w:r>
    </w:p>
    <w:p w14:paraId="34F74EDC">
      <w:pPr>
        <w:spacing w:line="580" w:lineRule="exact"/>
        <w:ind w:firstLine="640"/>
        <w:jc w:val="both"/>
      </w:pPr>
      <w:r>
        <w:rPr>
          <w:rFonts w:ascii="仿宋_GB2312" w:hAnsi="仿宋_GB2312" w:eastAsia="仿宋_GB2312"/>
          <w:b w:val="0"/>
          <w:sz w:val="32"/>
        </w:rPr>
        <w:t>10.住房保障支出(类)住房改革支出(款)住房公积金(项)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支出决算数为45.40万元，比上年决算增加1.48万元，增长3.37%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1F6EBF35">
      <w:pPr>
        <w:spacing w:line="640" w:lineRule="exact"/>
        <w:ind w:firstLine="640"/>
        <w:jc w:val="both"/>
        <w:outlineLvl w:val="2"/>
      </w:pPr>
      <w:r>
        <w:rPr>
          <w:rFonts w:ascii="黑体" w:hAnsi="黑体" w:eastAsia="黑体"/>
          <w:sz w:val="32"/>
        </w:rPr>
        <w:t>六、一般公共预算财政拨款基本支出决算情况说明</w:t>
      </w:r>
    </w:p>
    <w:p w14:paraId="77ACBAD2">
      <w:pPr>
        <w:spacing w:line="580" w:lineRule="exact"/>
        <w:ind w:firstLine="640"/>
        <w:jc w:val="both"/>
      </w:pPr>
      <w:r>
        <w:rPr>
          <w:rFonts w:ascii="仿宋_GB2312" w:hAnsi="仿宋_GB2312" w:eastAsia="仿宋_GB2312"/>
          <w:b w:val="0"/>
          <w:sz w:val="32"/>
        </w:rPr>
        <w:t>2024年度一般公共预算财政拨款基本支出600.04万元，其中：</w:t>
      </w:r>
      <w:r>
        <w:rPr>
          <w:rFonts w:ascii="仿宋_GB2312" w:hAnsi="仿宋_GB2312" w:eastAsia="仿宋_GB2312"/>
          <w:b/>
          <w:sz w:val="32"/>
        </w:rPr>
        <w:t>人员经费600.04万元，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1508D69D">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7110970">
      <w:pPr>
        <w:spacing w:line="640" w:lineRule="exact"/>
        <w:ind w:firstLine="640"/>
        <w:jc w:val="both"/>
        <w:outlineLvl w:val="2"/>
      </w:pPr>
      <w:r>
        <w:rPr>
          <w:rFonts w:ascii="黑体" w:hAnsi="黑体" w:eastAsia="黑体"/>
          <w:sz w:val="32"/>
        </w:rPr>
        <w:t>七、政府性基金预算财政拨款收入支出决算情况说明</w:t>
      </w:r>
    </w:p>
    <w:p w14:paraId="1FD2ECED">
      <w:pPr>
        <w:spacing w:line="580" w:lineRule="exact"/>
        <w:ind w:firstLine="640"/>
        <w:jc w:val="both"/>
      </w:pPr>
      <w:r>
        <w:rPr>
          <w:rFonts w:ascii="仿宋_GB2312" w:hAnsi="仿宋_GB2312" w:eastAsia="仿宋_GB2312"/>
          <w:b/>
          <w:sz w:val="32"/>
        </w:rPr>
        <w:t>2024年度政府性基金预算财政拨款收入总计3.10万元，</w:t>
      </w:r>
      <w:r>
        <w:rPr>
          <w:rFonts w:ascii="仿宋_GB2312" w:hAnsi="仿宋_GB2312" w:eastAsia="仿宋_GB2312"/>
          <w:b w:val="0"/>
          <w:sz w:val="32"/>
        </w:rPr>
        <w:t>其中：年初结转和结余0.00万元，本年收入3.10万元。</w:t>
      </w:r>
      <w:r>
        <w:rPr>
          <w:rFonts w:ascii="仿宋_GB2312" w:hAnsi="仿宋_GB2312" w:eastAsia="仿宋_GB2312"/>
          <w:b/>
          <w:sz w:val="32"/>
        </w:rPr>
        <w:t>政府性基金预算财政拨款支出总计3.10万元，</w:t>
      </w:r>
      <w:r>
        <w:rPr>
          <w:rFonts w:ascii="仿宋_GB2312" w:hAnsi="仿宋_GB2312" w:eastAsia="仿宋_GB2312"/>
          <w:b w:val="0"/>
          <w:sz w:val="32"/>
        </w:rPr>
        <w:t>其中：年末结转和结余0.00万元，本年支出3.10万元。</w:t>
      </w:r>
    </w:p>
    <w:p w14:paraId="7CFF871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减少0.76万元，下降19.69%，主要原因是：本年减少全民体检补助经费。</w:t>
      </w:r>
      <w:r>
        <w:rPr>
          <w:rFonts w:ascii="仿宋_GB2312" w:hAnsi="仿宋_GB2312" w:eastAsia="仿宋_GB2312"/>
          <w:b/>
          <w:sz w:val="32"/>
        </w:rPr>
        <w:t>与年初预算相比，</w:t>
      </w:r>
      <w:r>
        <w:rPr>
          <w:rFonts w:ascii="仿宋_GB2312" w:hAnsi="仿宋_GB2312" w:eastAsia="仿宋_GB2312"/>
          <w:b w:val="0"/>
          <w:sz w:val="32"/>
        </w:rPr>
        <w:t>年初预算数1.37万元，决算数3.10万元，预决算差异率126.28%，主要原因是：年中追加80岁以上老年人全面健康体检补助项目。</w:t>
      </w:r>
    </w:p>
    <w:p w14:paraId="4669A36B">
      <w:pPr>
        <w:spacing w:line="580" w:lineRule="exact"/>
        <w:ind w:firstLine="640"/>
        <w:jc w:val="both"/>
      </w:pPr>
      <w:r>
        <w:rPr>
          <w:rFonts w:ascii="仿宋_GB2312" w:hAnsi="仿宋_GB2312" w:eastAsia="仿宋_GB2312"/>
          <w:b w:val="0"/>
          <w:sz w:val="32"/>
        </w:rPr>
        <w:t>政府性基金预算财政拨款支出3.10万元。</w:t>
      </w:r>
    </w:p>
    <w:p w14:paraId="14591FFA">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支出决算数为2.85万元，比上年决算减少1.01万元，下降26.17%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主要原因是：本年减少全民体检补助经费。</w:t>
      </w:r>
    </w:p>
    <w:p w14:paraId="33936DA1">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支出决算数为0.26万元，比上年决算增加0.26万元，增长100.00%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主要原因是：本年增加中央专项彩票公益金支持地方社会公益事业发展资金（医疗救助）资金。</w:t>
      </w:r>
    </w:p>
    <w:p w14:paraId="4209890A">
      <w:pPr>
        <w:spacing w:line="640" w:lineRule="exact"/>
        <w:ind w:firstLine="640"/>
        <w:jc w:val="both"/>
        <w:outlineLvl w:val="2"/>
      </w:pPr>
      <w:r>
        <w:rPr>
          <w:rFonts w:ascii="黑体" w:hAnsi="黑体" w:eastAsia="黑体"/>
          <w:sz w:val="32"/>
        </w:rPr>
        <w:t>八、国有资本经营预算财政拨款收入支出决算情况说明</w:t>
      </w:r>
    </w:p>
    <w:p w14:paraId="11C08C2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B0B6143">
      <w:pPr>
        <w:spacing w:line="640" w:lineRule="exact"/>
        <w:ind w:firstLine="640"/>
        <w:jc w:val="both"/>
        <w:outlineLvl w:val="2"/>
      </w:pPr>
      <w:r>
        <w:rPr>
          <w:rFonts w:ascii="黑体" w:hAnsi="黑体" w:eastAsia="黑体"/>
          <w:sz w:val="32"/>
        </w:rPr>
        <w:t>九、财政拨款“三公”经费支出决算情况说明</w:t>
      </w:r>
    </w:p>
    <w:p w14:paraId="580C7716">
      <w:pPr>
        <w:spacing w:line="580" w:lineRule="exact"/>
        <w:ind w:firstLine="640"/>
        <w:jc w:val="both"/>
      </w:pPr>
      <w:r>
        <w:rPr>
          <w:rFonts w:ascii="仿宋_GB2312" w:hAnsi="仿宋_GB2312" w:eastAsia="仿宋_GB2312"/>
          <w:b/>
          <w:sz w:val="32"/>
        </w:rPr>
        <w:t>2024年度财政拨款“三公”经费支出12.68万元，</w:t>
      </w:r>
      <w:r>
        <w:rPr>
          <w:rFonts w:ascii="仿宋_GB2312" w:hAnsi="仿宋_GB2312" w:eastAsia="仿宋_GB2312"/>
          <w:b w:val="0"/>
          <w:sz w:val="32"/>
        </w:rPr>
        <w:t>比上年减少5.24万元，下降29.24%，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12.68万元，占100.00%，比上年减少5.24万元，下降29.24%，主要原因是：严格落实中央八项规定精神，厉行节约，减少公务用车运行维护费。公务接待费支出0.00万元，占0.00%，比上年增加0.00万元，增长0.00%，主要原因是：2023年与2024年均未安排公务接待费支出。</w:t>
      </w:r>
    </w:p>
    <w:p w14:paraId="32DDEE66">
      <w:pPr>
        <w:spacing w:line="580" w:lineRule="exact"/>
        <w:ind w:firstLine="640"/>
        <w:jc w:val="both"/>
      </w:pPr>
      <w:r>
        <w:rPr>
          <w:rFonts w:ascii="仿宋_GB2312" w:hAnsi="仿宋_GB2312" w:eastAsia="仿宋_GB2312"/>
          <w:b/>
          <w:sz w:val="32"/>
        </w:rPr>
        <w:t>具体情况如下：</w:t>
      </w:r>
    </w:p>
    <w:p w14:paraId="2BC3786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90D501A">
      <w:pPr>
        <w:spacing w:line="580" w:lineRule="exact"/>
        <w:ind w:firstLine="640"/>
        <w:jc w:val="both"/>
      </w:pPr>
      <w:r>
        <w:rPr>
          <w:rFonts w:ascii="仿宋_GB2312" w:hAnsi="仿宋_GB2312" w:eastAsia="仿宋_GB2312"/>
          <w:b w:val="0"/>
          <w:sz w:val="32"/>
        </w:rPr>
        <w:t>公务用车购置及运行维护费12.68万元，其中：公务用车购置费0.00万元，公务用车运行维护费12.68万元。公务用车运行维护费开支内容包括车辆加油费、维修费、保险费、审车费、过路费。公务用车购置数0辆，公务用车保有量4辆。国有资产占用情况中固定资产车辆4辆，与公务用车保有量差异原因是：本单位固定资产车辆与公务用车保有量一致无差异。</w:t>
      </w:r>
    </w:p>
    <w:p w14:paraId="3629356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F36119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12.68万元，决算数12.68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12.68万元，决算数12.68万元，预决算差异率0.00%，主要原因是：严格按照预算执行，预决算无差异。公务接待费全年预算数0.00万元，决算数0.00万元，预决算差异率0.00%，主要原因是：本单位无公务接待费。</w:t>
      </w:r>
    </w:p>
    <w:p w14:paraId="59D1C346">
      <w:pPr>
        <w:spacing w:line="640" w:lineRule="exact"/>
        <w:ind w:firstLine="640"/>
        <w:jc w:val="both"/>
        <w:outlineLvl w:val="2"/>
      </w:pPr>
      <w:r>
        <w:rPr>
          <w:rFonts w:ascii="黑体" w:hAnsi="黑体" w:eastAsia="黑体"/>
          <w:sz w:val="32"/>
        </w:rPr>
        <w:t>十、其他重要事项的情况说明</w:t>
      </w:r>
    </w:p>
    <w:p w14:paraId="64B3E21C">
      <w:pPr>
        <w:spacing w:line="640" w:lineRule="exact"/>
        <w:ind w:firstLine="640"/>
        <w:jc w:val="both"/>
        <w:outlineLvl w:val="3"/>
      </w:pPr>
      <w:r>
        <w:rPr>
          <w:rFonts w:ascii="楷体_GB2312" w:hAnsi="楷体_GB2312" w:eastAsia="楷体_GB2312"/>
          <w:b/>
          <w:sz w:val="32"/>
        </w:rPr>
        <w:t>（一）机关运行经费及公用经费支出情况</w:t>
      </w:r>
    </w:p>
    <w:p w14:paraId="16898F50">
      <w:pPr>
        <w:spacing w:line="580" w:lineRule="exact"/>
        <w:ind w:firstLine="640"/>
        <w:jc w:val="both"/>
      </w:pPr>
      <w:r>
        <w:rPr>
          <w:rFonts w:ascii="仿宋_GB2312" w:hAnsi="仿宋_GB2312" w:eastAsia="仿宋_GB2312"/>
          <w:b w:val="0"/>
          <w:sz w:val="32"/>
        </w:rPr>
        <w:t>2024年度阿图什市哈拉峻乡卫生院（事业单位）公用经费支出0.00万元，比上年增加0.00万元，增长0.00%，主要原因是：2023年与2024年均未安排公用经费支出。</w:t>
      </w:r>
    </w:p>
    <w:p w14:paraId="72B617F7">
      <w:pPr>
        <w:spacing w:line="640" w:lineRule="exact"/>
        <w:ind w:firstLine="640"/>
        <w:jc w:val="both"/>
        <w:outlineLvl w:val="3"/>
      </w:pPr>
      <w:r>
        <w:rPr>
          <w:rFonts w:ascii="楷体_GB2312" w:hAnsi="楷体_GB2312" w:eastAsia="楷体_GB2312"/>
          <w:b/>
          <w:sz w:val="32"/>
        </w:rPr>
        <w:t>（二）政府采购情况</w:t>
      </w:r>
    </w:p>
    <w:p w14:paraId="44481831">
      <w:pPr>
        <w:spacing w:line="580" w:lineRule="exact"/>
        <w:ind w:firstLine="640"/>
        <w:jc w:val="both"/>
      </w:pPr>
      <w:r>
        <w:rPr>
          <w:rFonts w:ascii="仿宋_GB2312" w:hAnsi="仿宋_GB2312" w:eastAsia="仿宋_GB2312"/>
          <w:b w:val="0"/>
          <w:sz w:val="32"/>
        </w:rPr>
        <w:t>2024年度政府采购支出总额192.05万元，其中：政府采购货物支出131.63万元、政府采购工程支出1.06万元、政府采购服务支出59.37万元。</w:t>
      </w:r>
    </w:p>
    <w:p w14:paraId="2637698C">
      <w:pPr>
        <w:spacing w:line="580" w:lineRule="exact"/>
        <w:ind w:firstLine="640"/>
        <w:jc w:val="both"/>
      </w:pPr>
      <w:r>
        <w:rPr>
          <w:rFonts w:ascii="仿宋_GB2312" w:hAnsi="仿宋_GB2312" w:eastAsia="仿宋_GB2312"/>
          <w:b w:val="0"/>
          <w:sz w:val="32"/>
        </w:rPr>
        <w:t>授予中小企业合同金额141.00万元，占政府采购支出总额的73.42%，其中：授予小微企业合同金额138.48万元，占政府采购支出总额的72.11%。</w:t>
      </w:r>
    </w:p>
    <w:p w14:paraId="721F6B33">
      <w:pPr>
        <w:spacing w:line="640" w:lineRule="exact"/>
        <w:ind w:firstLine="640"/>
        <w:jc w:val="both"/>
        <w:outlineLvl w:val="3"/>
      </w:pPr>
      <w:r>
        <w:rPr>
          <w:rFonts w:ascii="楷体_GB2312" w:hAnsi="楷体_GB2312" w:eastAsia="楷体_GB2312"/>
          <w:b/>
          <w:sz w:val="32"/>
        </w:rPr>
        <w:t>（三）国有资产占用情况说明</w:t>
      </w:r>
    </w:p>
    <w:p w14:paraId="73531E24">
      <w:pPr>
        <w:spacing w:line="580" w:lineRule="exact"/>
        <w:ind w:firstLine="640"/>
        <w:jc w:val="both"/>
      </w:pPr>
      <w:r>
        <w:rPr>
          <w:rFonts w:ascii="仿宋_GB2312" w:hAnsi="仿宋_GB2312" w:eastAsia="仿宋_GB2312"/>
          <w:b w:val="0"/>
          <w:sz w:val="32"/>
        </w:rPr>
        <w:t>截至2024年12月31日，房屋2,234.00平方米，价值157.38万元。车辆4辆，价值78.10万元，其中：副部（省）级及以上领导用车0辆、主要负责人用车0辆、机要通信用车0辆、应急保障用车0辆、执法执勤用车0辆、特种专业技术用车0辆、离退休干部服务用车0辆、其他用车4辆，其他用车主要是：本单位救护车。单价100万元（含）以上设备（不含车辆）0台（套）。</w:t>
      </w:r>
    </w:p>
    <w:p w14:paraId="6876F052">
      <w:pPr>
        <w:spacing w:line="640" w:lineRule="exact"/>
        <w:ind w:firstLine="640"/>
        <w:jc w:val="both"/>
        <w:outlineLvl w:val="2"/>
      </w:pPr>
      <w:r>
        <w:rPr>
          <w:rFonts w:ascii="黑体" w:hAnsi="黑体" w:eastAsia="黑体"/>
          <w:sz w:val="32"/>
        </w:rPr>
        <w:t>十一、预算绩效的情况说明</w:t>
      </w:r>
    </w:p>
    <w:p w14:paraId="5280D6C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1,302.69万元，实际执行总额1,302.69万元；预算绩效评价项目0个，全年预算数0.00万元，全年执行数0.00万元。预算绩效管理取得的成效：本单位无项目绩效支出。发现的问题及原因：本单位无项目绩效支出。下一步改进措施：本单位无项目绩效支出。具体附整体支出绩效自评表。</w:t>
      </w:r>
    </w:p>
    <w:p w14:paraId="0FA842E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887AB0D">
        <w:tblPrEx>
          <w:tblCellMar>
            <w:top w:w="0" w:type="dxa"/>
            <w:left w:w="108" w:type="dxa"/>
            <w:bottom w:w="0" w:type="dxa"/>
            <w:right w:w="108" w:type="dxa"/>
          </w:tblCellMar>
        </w:tblPrEx>
        <w:tc>
          <w:tcPr>
            <w:tcW w:w="8840" w:type="dxa"/>
            <w:gridSpan w:val="8"/>
            <w:vAlign w:val="center"/>
          </w:tcPr>
          <w:p w14:paraId="1EE78E2F">
            <w:pPr>
              <w:jc w:val="center"/>
            </w:pPr>
            <w:r>
              <w:rPr>
                <w:rFonts w:ascii="宋体" w:hAnsi="宋体" w:eastAsia="宋体"/>
                <w:sz w:val="24"/>
              </w:rPr>
              <w:t>单位整体支出绩效自评表</w:t>
            </w:r>
          </w:p>
        </w:tc>
      </w:tr>
      <w:tr w14:paraId="43DD976D">
        <w:tblPrEx>
          <w:tblCellMar>
            <w:top w:w="0" w:type="dxa"/>
            <w:left w:w="108" w:type="dxa"/>
            <w:bottom w:w="0" w:type="dxa"/>
            <w:right w:w="108" w:type="dxa"/>
          </w:tblCellMar>
        </w:tblPrEx>
        <w:tc>
          <w:tcPr>
            <w:tcW w:w="8840" w:type="dxa"/>
            <w:gridSpan w:val="8"/>
            <w:vAlign w:val="center"/>
          </w:tcPr>
          <w:p w14:paraId="35D55066">
            <w:pPr>
              <w:jc w:val="center"/>
            </w:pPr>
            <w:r>
              <w:rPr>
                <w:rFonts w:ascii="宋体" w:hAnsi="宋体" w:eastAsia="宋体"/>
                <w:sz w:val="24"/>
              </w:rPr>
              <w:t>（2024年度）</w:t>
            </w:r>
          </w:p>
        </w:tc>
      </w:tr>
      <w:tr w14:paraId="7EFE26F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74B7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D7DEF5">
            <w:pPr>
              <w:jc w:val="center"/>
            </w:pPr>
            <w:r>
              <w:rPr>
                <w:rFonts w:ascii="宋体" w:hAnsi="宋体" w:eastAsia="宋体"/>
                <w:sz w:val="16"/>
              </w:rPr>
              <w:t>阿图什市哈拉峻乡卫生院</w:t>
            </w:r>
          </w:p>
        </w:tc>
      </w:tr>
      <w:tr w14:paraId="6BAF9E5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AC584">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328A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47499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E18D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3AF0C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25E0F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28B1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8DCFC">
            <w:pPr>
              <w:jc w:val="center"/>
            </w:pPr>
            <w:r>
              <w:rPr>
                <w:rFonts w:ascii="宋体" w:hAnsi="宋体" w:eastAsia="宋体"/>
                <w:sz w:val="16"/>
              </w:rPr>
              <w:t>得分</w:t>
            </w:r>
          </w:p>
        </w:tc>
      </w:tr>
      <w:tr w14:paraId="2D5120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6D3E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CAFC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9ACE6">
            <w:pPr>
              <w:jc w:val="center"/>
            </w:pPr>
            <w:r>
              <w:rPr>
                <w:rFonts w:ascii="宋体" w:hAnsi="宋体" w:eastAsia="宋体"/>
                <w:sz w:val="16"/>
              </w:rPr>
              <w:t>827.56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2F0568">
            <w:pPr>
              <w:jc w:val="center"/>
            </w:pPr>
            <w:r>
              <w:rPr>
                <w:rFonts w:ascii="宋体" w:hAnsi="宋体" w:eastAsia="宋体"/>
                <w:sz w:val="16"/>
              </w:rPr>
              <w:t>1,302.69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8532D">
            <w:pPr>
              <w:jc w:val="center"/>
            </w:pPr>
            <w:r>
              <w:rPr>
                <w:rFonts w:ascii="宋体" w:hAnsi="宋体" w:eastAsia="宋体"/>
                <w:sz w:val="16"/>
              </w:rPr>
              <w:t>1,302.69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C9091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810E0">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515F6">
            <w:pPr>
              <w:jc w:val="center"/>
              <w:rPr>
                <w:rFonts w:hint="default" w:eastAsia="宋体"/>
                <w:lang w:val="en-US" w:eastAsia="zh-CN"/>
              </w:rPr>
            </w:pPr>
            <w:r>
              <w:rPr>
                <w:rFonts w:hint="eastAsia" w:ascii="宋体" w:hAnsi="宋体"/>
                <w:sz w:val="16"/>
                <w:lang w:val="en-US" w:eastAsia="zh-CN"/>
              </w:rPr>
              <w:t>10.00</w:t>
            </w:r>
          </w:p>
        </w:tc>
      </w:tr>
      <w:tr w14:paraId="5D4856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FA97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BB49F">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310C4">
            <w:pPr>
              <w:jc w:val="center"/>
            </w:pPr>
            <w:r>
              <w:rPr>
                <w:rFonts w:ascii="宋体" w:hAnsi="宋体" w:eastAsia="宋体"/>
                <w:sz w:val="16"/>
              </w:rPr>
              <w:t>250.80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F5C30">
            <w:pPr>
              <w:jc w:val="center"/>
            </w:pPr>
            <w:r>
              <w:rPr>
                <w:rFonts w:ascii="宋体" w:hAnsi="宋体" w:eastAsia="宋体"/>
                <w:sz w:val="16"/>
              </w:rPr>
              <w:t>277.11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1C358D">
            <w:pPr>
              <w:jc w:val="center"/>
            </w:pPr>
            <w:r>
              <w:rPr>
                <w:rFonts w:ascii="宋体" w:hAnsi="宋体" w:eastAsia="宋体"/>
                <w:sz w:val="16"/>
              </w:rPr>
              <w:t>277.11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13BB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13B1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6575B">
            <w:pPr>
              <w:jc w:val="center"/>
            </w:pPr>
            <w:r>
              <w:rPr>
                <w:rFonts w:ascii="宋体" w:hAnsi="宋体" w:eastAsia="宋体"/>
                <w:sz w:val="16"/>
              </w:rPr>
              <w:t>—</w:t>
            </w:r>
          </w:p>
        </w:tc>
      </w:tr>
      <w:tr w14:paraId="0A2693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0ED9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3D485">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4F1BC">
            <w:pPr>
              <w:jc w:val="center"/>
            </w:pPr>
            <w:r>
              <w:rPr>
                <w:rFonts w:ascii="宋体" w:hAnsi="宋体" w:eastAsia="宋体"/>
                <w:sz w:val="16"/>
              </w:rPr>
              <w:t>576.76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CEBCF">
            <w:pPr>
              <w:jc w:val="center"/>
            </w:pPr>
            <w:r>
              <w:rPr>
                <w:rFonts w:ascii="宋体" w:hAnsi="宋体" w:eastAsia="宋体"/>
                <w:sz w:val="16"/>
              </w:rPr>
              <w:t>1,025.58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BA2D2">
            <w:pPr>
              <w:jc w:val="center"/>
            </w:pPr>
            <w:r>
              <w:rPr>
                <w:rFonts w:ascii="宋体" w:hAnsi="宋体" w:eastAsia="宋体"/>
                <w:sz w:val="16"/>
              </w:rPr>
              <w:t>1,025.58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B4C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9CBA3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C0EE2">
            <w:pPr>
              <w:jc w:val="center"/>
            </w:pPr>
            <w:r>
              <w:rPr>
                <w:rFonts w:ascii="宋体" w:hAnsi="宋体" w:eastAsia="宋体"/>
                <w:sz w:val="16"/>
              </w:rPr>
              <w:t>—</w:t>
            </w:r>
          </w:p>
        </w:tc>
      </w:tr>
      <w:tr w14:paraId="2F730F9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5FA1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CA28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6795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103EB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7830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FD6B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C7EA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65343A">
            <w:pPr>
              <w:jc w:val="center"/>
            </w:pPr>
            <w:r>
              <w:rPr>
                <w:rFonts w:ascii="宋体" w:hAnsi="宋体" w:eastAsia="宋体"/>
                <w:sz w:val="16"/>
              </w:rPr>
              <w:t>—</w:t>
            </w:r>
          </w:p>
        </w:tc>
      </w:tr>
      <w:tr w14:paraId="0F48AAB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AA2FF">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6BCD5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2A1A8EE">
            <w:pPr>
              <w:jc w:val="center"/>
            </w:pPr>
            <w:r>
              <w:rPr>
                <w:rFonts w:ascii="宋体" w:hAnsi="宋体" w:eastAsia="宋体"/>
                <w:sz w:val="16"/>
              </w:rPr>
              <w:t>实际完成情况</w:t>
            </w:r>
          </w:p>
        </w:tc>
      </w:tr>
      <w:tr w14:paraId="61CAC20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015C53"/>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88E7B5">
            <w:pPr>
              <w:jc w:val="both"/>
            </w:pPr>
            <w:r>
              <w:rPr>
                <w:rFonts w:ascii="宋体" w:hAnsi="宋体" w:eastAsia="宋体"/>
                <w:sz w:val="16"/>
              </w:rPr>
              <w:t xml:space="preserve">单位基本职能：1、为全民人员康复服务日常工作，2、为城乡居民，职工人员等医疗工作，3，为全民人员基本公共卫生14项服务工作，4，为全民人员免费健康体检工作，5、为人民身体健康医疗与保健服务。医疗；常见病多发病护理预防 </w:t>
            </w:r>
            <w:r>
              <w:rPr>
                <w:rFonts w:ascii="宋体" w:hAnsi="宋体" w:eastAsia="宋体"/>
                <w:sz w:val="16"/>
              </w:rPr>
              <w:br w:type="textWrapping"/>
            </w:r>
            <w:r>
              <w:rPr>
                <w:rFonts w:ascii="宋体" w:hAnsi="宋体" w:eastAsia="宋体"/>
                <w:sz w:val="16"/>
              </w:rPr>
              <w:t xml:space="preserve">机构设置及人员配置：无下属预算单位，下设3个科室，编制数33，实有人数49人，在职38人，退休11人。 </w:t>
            </w:r>
            <w:r>
              <w:rPr>
                <w:rFonts w:ascii="宋体" w:hAnsi="宋体" w:eastAsia="宋体"/>
                <w:sz w:val="16"/>
              </w:rPr>
              <w:br w:type="textWrapping"/>
            </w:r>
            <w:r>
              <w:rPr>
                <w:rFonts w:ascii="宋体" w:hAnsi="宋体" w:eastAsia="宋体"/>
                <w:sz w:val="16"/>
              </w:rPr>
              <w:t>中长期规划：</w:t>
            </w:r>
            <w:r>
              <w:rPr>
                <w:rFonts w:hint="eastAsia" w:ascii="宋体" w:hAnsi="宋体"/>
                <w:sz w:val="16"/>
                <w:lang w:eastAsia="zh-CN"/>
              </w:rPr>
              <w:t>全面</w:t>
            </w:r>
            <w:r>
              <w:rPr>
                <w:rFonts w:ascii="宋体" w:hAnsi="宋体" w:eastAsia="宋体"/>
                <w:sz w:val="16"/>
              </w:rPr>
              <w:t>加强党对医疗卫生工作的全面领导，进一步规范化建设医疗质量管理体系，健全院科两级目标责任制管理体系，进一步规范城镇居民医保和城镇职工医保的管理体系，以慢病管理为抓手，加强重点人群监管，努力提升基本公共卫生管理水平。按照新</w:t>
            </w:r>
            <w:r>
              <w:rPr>
                <w:rFonts w:hint="eastAsia" w:ascii="宋体" w:hAnsi="宋体"/>
                <w:sz w:val="16"/>
                <w:lang w:eastAsia="zh-CN"/>
              </w:rPr>
              <w:t>｛</w:t>
            </w:r>
            <w:r>
              <w:rPr>
                <w:rFonts w:ascii="宋体" w:hAnsi="宋体" w:eastAsia="宋体"/>
                <w:sz w:val="16"/>
              </w:rPr>
              <w:t>药品管理法</w:t>
            </w:r>
            <w:r>
              <w:rPr>
                <w:rFonts w:hint="eastAsia" w:ascii="宋体" w:hAnsi="宋体"/>
                <w:sz w:val="16"/>
                <w:lang w:eastAsia="zh-CN"/>
              </w:rPr>
              <w:t>｝</w:t>
            </w:r>
            <w:r>
              <w:rPr>
                <w:rFonts w:ascii="宋体" w:hAnsi="宋体" w:eastAsia="宋体"/>
                <w:sz w:val="16"/>
              </w:rPr>
              <w:t>各药房对药品质量层层验收，注重细节，尤其对药品的</w:t>
            </w:r>
            <w:r>
              <w:rPr>
                <w:rFonts w:hint="eastAsia" w:ascii="宋体" w:hAnsi="宋体"/>
                <w:sz w:val="16"/>
                <w:lang w:eastAsia="zh-CN"/>
              </w:rPr>
              <w:t>贮藏有效期</w:t>
            </w:r>
            <w:r>
              <w:rPr>
                <w:rFonts w:ascii="宋体" w:hAnsi="宋体" w:eastAsia="宋体"/>
                <w:sz w:val="16"/>
              </w:rPr>
              <w:t>严格把关，且每月各个药房，药库者进</w:t>
            </w:r>
            <w:r>
              <w:rPr>
                <w:rFonts w:hint="eastAsia" w:ascii="宋体" w:hAnsi="宋体"/>
                <w:sz w:val="16"/>
                <w:lang w:eastAsia="zh-CN"/>
              </w:rPr>
              <w:t>行有</w:t>
            </w:r>
            <w:r>
              <w:rPr>
                <w:rFonts w:ascii="宋体" w:hAnsi="宋体" w:eastAsia="宋体"/>
                <w:sz w:val="16"/>
              </w:rPr>
              <w:t>效期药品的自查，将近</w:t>
            </w:r>
            <w:r>
              <w:rPr>
                <w:rFonts w:hint="eastAsia" w:ascii="宋体" w:hAnsi="宋体"/>
                <w:sz w:val="16"/>
                <w:lang w:eastAsia="zh-CN"/>
              </w:rPr>
              <w:t>时效</w:t>
            </w:r>
            <w:r>
              <w:rPr>
                <w:rFonts w:ascii="宋体" w:hAnsi="宋体" w:eastAsia="宋体"/>
                <w:sz w:val="16"/>
              </w:rPr>
              <w:t xml:space="preserve">内的滞销药品及时上报，先使用基本药物，带量采购的药品。 </w:t>
            </w:r>
            <w:r>
              <w:rPr>
                <w:rFonts w:ascii="宋体" w:hAnsi="宋体" w:eastAsia="宋体"/>
                <w:sz w:val="16"/>
              </w:rPr>
              <w:br w:type="textWrapping"/>
            </w:r>
            <w:r>
              <w:rPr>
                <w:rFonts w:ascii="宋体" w:hAnsi="宋体" w:eastAsia="宋体"/>
                <w:sz w:val="16"/>
              </w:rPr>
              <w:t xml:space="preserve">    保障单位在职32人，退休10人的工资福利及各项补助正常发放及部门正常运转；保障单位顺利指导学习各级各类医疗工作，对全市医疗卫生培训工作，提高医疗技术能力，提高医护人员幸福感、归属感，积极卫生院文化建设，培养医护人员全面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4C9159">
            <w:pPr>
              <w:jc w:val="both"/>
            </w:pPr>
            <w:r>
              <w:rPr>
                <w:rFonts w:ascii="宋体" w:hAnsi="宋体" w:eastAsia="宋体"/>
                <w:sz w:val="16"/>
              </w:rPr>
              <w:t xml:space="preserve"> 本单位共计支出1302.69万元，用于保障部门在职38人，退休11人的工资福利、各项补助正常发放及部门单位正常运转，单位预算项目根据年初计划均已完成，保障单位顺利检查指导学习各级各类医疗工作，对全市开展医疗卫生培训工作，提高医疗技术能力，提高医护人员幸福感、归属感，积极开展卫生院文化建设，培养医护人员全面发展，年度任务中完成孕期保健服务和2次产后访视5次，中医药知识开展健康教育4次等目标。</w:t>
            </w:r>
          </w:p>
        </w:tc>
      </w:tr>
      <w:tr w14:paraId="742421F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24B4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8A33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2AC0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3B4ED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AB191">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85BC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2C24D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7B45F">
            <w:pPr>
              <w:jc w:val="center"/>
            </w:pPr>
            <w:r>
              <w:rPr>
                <w:rFonts w:ascii="宋体" w:hAnsi="宋体" w:eastAsia="宋体"/>
                <w:sz w:val="16"/>
              </w:rPr>
              <w:t>得分</w:t>
            </w:r>
          </w:p>
        </w:tc>
      </w:tr>
      <w:tr w14:paraId="5FF75BF7">
        <w:tblPrEx>
          <w:tblCellMar>
            <w:top w:w="0" w:type="dxa"/>
            <w:left w:w="108" w:type="dxa"/>
            <w:bottom w:w="0" w:type="dxa"/>
            <w:right w:w="108" w:type="dxa"/>
          </w:tblCellMar>
        </w:tblPrEx>
        <w:trPr>
          <w:trHeight w:val="799" w:hRule="atLeast"/>
        </w:trPr>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2099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386B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1B43C">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0649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1697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FC29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C4A9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963BD">
            <w:pPr>
              <w:jc w:val="center"/>
            </w:pPr>
            <w:r>
              <w:rPr>
                <w:rFonts w:ascii="宋体" w:hAnsi="宋体" w:eastAsia="宋体"/>
                <w:sz w:val="16"/>
              </w:rPr>
              <w:t>18</w:t>
            </w:r>
          </w:p>
        </w:tc>
      </w:tr>
      <w:tr w14:paraId="01CDF0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211D3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9230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425CA">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ABE9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D9D6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5D048">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9D71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9A197">
            <w:pPr>
              <w:jc w:val="center"/>
            </w:pPr>
            <w:r>
              <w:rPr>
                <w:rFonts w:ascii="宋体" w:hAnsi="宋体" w:eastAsia="宋体"/>
                <w:sz w:val="16"/>
              </w:rPr>
              <w:t>18</w:t>
            </w:r>
          </w:p>
        </w:tc>
      </w:tr>
      <w:tr w14:paraId="6A883D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75054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079A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CC8F0">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2F756">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8371DF">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77D0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45E17">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A9E5E">
            <w:pPr>
              <w:jc w:val="center"/>
            </w:pPr>
            <w:r>
              <w:rPr>
                <w:rFonts w:ascii="宋体" w:hAnsi="宋体" w:eastAsia="宋体"/>
                <w:sz w:val="16"/>
              </w:rPr>
              <w:t>18</w:t>
            </w:r>
          </w:p>
        </w:tc>
      </w:tr>
      <w:tr w14:paraId="624A3E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9507D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A505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649C3">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D135D">
            <w:pPr>
              <w:jc w:val="center"/>
            </w:pPr>
            <w:bookmarkStart w:id="0" w:name="_GoBack"/>
            <w:r>
              <w:rPr>
                <w:rFonts w:ascii="宋体" w:hAnsi="宋体" w:eastAsia="宋体"/>
                <w:sz w:val="16"/>
              </w:rPr>
              <w:t>&gt;</w:t>
            </w:r>
            <w:bookmarkEnd w:id="0"/>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669A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4115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7569B">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9A84C">
            <w:pPr>
              <w:jc w:val="center"/>
            </w:pPr>
            <w:r>
              <w:rPr>
                <w:rFonts w:ascii="宋体" w:hAnsi="宋体" w:eastAsia="宋体"/>
                <w:sz w:val="16"/>
              </w:rPr>
              <w:t>18</w:t>
            </w:r>
          </w:p>
        </w:tc>
      </w:tr>
      <w:tr w14:paraId="177326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D002D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BD6CB9">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B1E766">
            <w:pPr>
              <w:jc w:val="center"/>
            </w:pPr>
            <w:r>
              <w:rPr>
                <w:rFonts w:ascii="宋体" w:hAnsi="宋体" w:eastAsia="宋体"/>
                <w:sz w:val="16"/>
              </w:rPr>
              <w:t>群众医疗与保健工作完成及时性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09210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12A2E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D874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8D48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E45F4">
            <w:pPr>
              <w:jc w:val="center"/>
            </w:pPr>
            <w:r>
              <w:rPr>
                <w:rFonts w:ascii="宋体" w:hAnsi="宋体" w:eastAsia="宋体"/>
                <w:sz w:val="16"/>
              </w:rPr>
              <w:t>18</w:t>
            </w:r>
          </w:p>
        </w:tc>
      </w:tr>
    </w:tbl>
    <w:p w14:paraId="4DC31DCC">
      <w:r>
        <w:br w:type="page"/>
      </w:r>
    </w:p>
    <w:p w14:paraId="7674EC93">
      <w:pPr>
        <w:spacing w:line="640" w:lineRule="exact"/>
        <w:ind w:firstLine="640"/>
        <w:jc w:val="both"/>
        <w:outlineLvl w:val="2"/>
      </w:pPr>
      <w:r>
        <w:rPr>
          <w:rFonts w:ascii="黑体" w:hAnsi="黑体" w:eastAsia="黑体"/>
          <w:sz w:val="32"/>
        </w:rPr>
        <w:t>十二、其他需说明的事项</w:t>
      </w:r>
    </w:p>
    <w:p w14:paraId="7A6D37BD">
      <w:pPr>
        <w:spacing w:line="580" w:lineRule="exact"/>
        <w:ind w:firstLine="640"/>
        <w:jc w:val="both"/>
      </w:pPr>
      <w:r>
        <w:rPr>
          <w:rFonts w:ascii="仿宋_GB2312" w:hAnsi="仿宋_GB2312" w:eastAsia="仿宋_GB2312"/>
          <w:b w:val="0"/>
          <w:sz w:val="32"/>
        </w:rPr>
        <w:t>本单位无其他需说明的事项。</w:t>
      </w:r>
    </w:p>
    <w:p w14:paraId="6E67A9D4">
      <w:r>
        <w:br w:type="page"/>
      </w:r>
    </w:p>
    <w:p w14:paraId="68E2D054">
      <w:pPr>
        <w:spacing w:line="240" w:lineRule="auto"/>
        <w:jc w:val="center"/>
        <w:outlineLvl w:val="1"/>
      </w:pPr>
      <w:r>
        <w:rPr>
          <w:rFonts w:ascii="黑体" w:hAnsi="黑体" w:eastAsia="黑体"/>
          <w:sz w:val="32"/>
        </w:rPr>
        <w:t>第三部分 专业名词解释</w:t>
      </w:r>
    </w:p>
    <w:p w14:paraId="0281AFA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B5238D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FA5C22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B76FD1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5B3A2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70E34D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36AD6D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14AE6D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4639D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F34859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1EC81B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9CB402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A12847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236C9E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323425F">
      <w:r>
        <w:br w:type="page"/>
      </w:r>
    </w:p>
    <w:p w14:paraId="29F462F9">
      <w:pPr>
        <w:spacing w:line="240" w:lineRule="auto"/>
        <w:jc w:val="center"/>
        <w:outlineLvl w:val="1"/>
      </w:pPr>
      <w:r>
        <w:rPr>
          <w:rFonts w:ascii="黑体" w:hAnsi="黑体" w:eastAsia="黑体"/>
          <w:sz w:val="32"/>
        </w:rPr>
        <w:t>第四部分 部门决算报表（见附表）</w:t>
      </w:r>
    </w:p>
    <w:p w14:paraId="75C3D754">
      <w:pPr>
        <w:spacing w:line="240" w:lineRule="auto"/>
        <w:ind w:firstLine="640"/>
        <w:jc w:val="both"/>
      </w:pPr>
      <w:r>
        <w:rPr>
          <w:rFonts w:ascii="仿宋_GB2312" w:hAnsi="仿宋_GB2312" w:eastAsia="仿宋_GB2312"/>
          <w:b w:val="0"/>
          <w:sz w:val="32"/>
        </w:rPr>
        <w:t>一、《收入支出决算总表》</w:t>
      </w:r>
    </w:p>
    <w:p w14:paraId="579CECCB">
      <w:pPr>
        <w:spacing w:line="240" w:lineRule="auto"/>
        <w:ind w:firstLine="640"/>
        <w:jc w:val="both"/>
      </w:pPr>
      <w:r>
        <w:rPr>
          <w:rFonts w:ascii="仿宋_GB2312" w:hAnsi="仿宋_GB2312" w:eastAsia="仿宋_GB2312"/>
          <w:b w:val="0"/>
          <w:sz w:val="32"/>
        </w:rPr>
        <w:t>二、《收入决算表》</w:t>
      </w:r>
    </w:p>
    <w:p w14:paraId="456967BA">
      <w:pPr>
        <w:spacing w:line="240" w:lineRule="auto"/>
        <w:ind w:firstLine="640"/>
        <w:jc w:val="both"/>
      </w:pPr>
      <w:r>
        <w:rPr>
          <w:rFonts w:ascii="仿宋_GB2312" w:hAnsi="仿宋_GB2312" w:eastAsia="仿宋_GB2312"/>
          <w:b w:val="0"/>
          <w:sz w:val="32"/>
        </w:rPr>
        <w:t>三、《支出决算表》</w:t>
      </w:r>
    </w:p>
    <w:p w14:paraId="2B6211EA">
      <w:pPr>
        <w:spacing w:line="240" w:lineRule="auto"/>
        <w:ind w:firstLine="640"/>
        <w:jc w:val="both"/>
      </w:pPr>
      <w:r>
        <w:rPr>
          <w:rFonts w:ascii="仿宋_GB2312" w:hAnsi="仿宋_GB2312" w:eastAsia="仿宋_GB2312"/>
          <w:b w:val="0"/>
          <w:sz w:val="32"/>
        </w:rPr>
        <w:t>四、《财政拨款收入支出决算总表》</w:t>
      </w:r>
    </w:p>
    <w:p w14:paraId="5D6CA72D">
      <w:pPr>
        <w:spacing w:line="240" w:lineRule="auto"/>
        <w:ind w:firstLine="640"/>
        <w:jc w:val="both"/>
      </w:pPr>
      <w:r>
        <w:rPr>
          <w:rFonts w:ascii="仿宋_GB2312" w:hAnsi="仿宋_GB2312" w:eastAsia="仿宋_GB2312"/>
          <w:b w:val="0"/>
          <w:sz w:val="32"/>
        </w:rPr>
        <w:t>五、《一般公共预算财政拨款支出决算表》</w:t>
      </w:r>
    </w:p>
    <w:p w14:paraId="5463C5E3">
      <w:pPr>
        <w:spacing w:line="240" w:lineRule="auto"/>
        <w:ind w:firstLine="640"/>
        <w:jc w:val="both"/>
      </w:pPr>
      <w:r>
        <w:rPr>
          <w:rFonts w:ascii="仿宋_GB2312" w:hAnsi="仿宋_GB2312" w:eastAsia="仿宋_GB2312"/>
          <w:b w:val="0"/>
          <w:sz w:val="32"/>
        </w:rPr>
        <w:t>六、《一般公共预算财政拨款基本支出决算表》</w:t>
      </w:r>
    </w:p>
    <w:p w14:paraId="7E6BDF13">
      <w:pPr>
        <w:spacing w:line="240" w:lineRule="auto"/>
        <w:ind w:firstLine="640"/>
        <w:jc w:val="both"/>
      </w:pPr>
      <w:r>
        <w:rPr>
          <w:rFonts w:ascii="仿宋_GB2312" w:hAnsi="仿宋_GB2312" w:eastAsia="仿宋_GB2312"/>
          <w:b w:val="0"/>
          <w:sz w:val="32"/>
        </w:rPr>
        <w:t>七、《政府性基金预算财政拨款收入支出决算表》</w:t>
      </w:r>
    </w:p>
    <w:p w14:paraId="312C3EB2">
      <w:pPr>
        <w:spacing w:line="240" w:lineRule="auto"/>
        <w:ind w:firstLine="640"/>
        <w:jc w:val="both"/>
      </w:pPr>
      <w:r>
        <w:rPr>
          <w:rFonts w:ascii="仿宋_GB2312" w:hAnsi="仿宋_GB2312" w:eastAsia="仿宋_GB2312"/>
          <w:b w:val="0"/>
          <w:sz w:val="32"/>
        </w:rPr>
        <w:t>八、《国有资本经营预算财政拨款收入支出决算表》</w:t>
      </w:r>
    </w:p>
    <w:p w14:paraId="3D5AF5A9">
      <w:pPr>
        <w:spacing w:line="240" w:lineRule="auto"/>
        <w:ind w:firstLine="640"/>
        <w:jc w:val="both"/>
      </w:pPr>
      <w:r>
        <w:rPr>
          <w:rFonts w:ascii="仿宋_GB2312" w:hAnsi="仿宋_GB2312" w:eastAsia="仿宋_GB2312"/>
          <w:b w:val="0"/>
          <w:sz w:val="32"/>
        </w:rPr>
        <w:t>九、《财政拨款“三公”经费支出决算表》</w:t>
      </w:r>
    </w:p>
    <w:p w14:paraId="4F2DA039">
      <w:pPr>
        <w:spacing w:line="240" w:lineRule="auto"/>
        <w:ind w:firstLine="640"/>
        <w:jc w:val="both"/>
      </w:pPr>
    </w:p>
    <w:p w14:paraId="07D61927">
      <w:pPr>
        <w:spacing w:line="240" w:lineRule="auto"/>
        <w:ind w:firstLine="640"/>
        <w:jc w:val="both"/>
      </w:pPr>
    </w:p>
    <w:p w14:paraId="06419F7F">
      <w:pPr>
        <w:spacing w:line="240" w:lineRule="auto"/>
        <w:ind w:firstLine="640"/>
        <w:jc w:val="both"/>
      </w:pPr>
    </w:p>
    <w:p w14:paraId="720D8273">
      <w:pPr>
        <w:spacing w:line="240" w:lineRule="auto"/>
        <w:ind w:firstLine="640"/>
        <w:jc w:val="both"/>
      </w:pPr>
    </w:p>
    <w:p w14:paraId="0B0E80A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0E927A-EF20-4E81-9B54-9C7458B5383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A53AEBB-822B-4DC8-8885-3AAB46E27564}"/>
  </w:font>
  <w:font w:name="仿宋_GB2312">
    <w:panose1 w:val="02010609030101010101"/>
    <w:charset w:val="86"/>
    <w:family w:val="modern"/>
    <w:pitch w:val="default"/>
    <w:sig w:usb0="00000001" w:usb1="080E0000" w:usb2="00000000" w:usb3="00000000" w:csb0="00040000" w:csb1="00000000"/>
    <w:embedRegular r:id="rId3" w:fontKey="{33074B2C-0211-46D2-9D60-897B2CFEAD14}"/>
  </w:font>
  <w:font w:name="楷体_GB2312">
    <w:altName w:val="楷体"/>
    <w:panose1 w:val="00000000000000000000"/>
    <w:charset w:val="00"/>
    <w:family w:val="auto"/>
    <w:pitch w:val="default"/>
    <w:sig w:usb0="00000000" w:usb1="00000000" w:usb2="00000000" w:usb3="00000000" w:csb0="00000000" w:csb1="00000000"/>
    <w:embedRegular r:id="rId4" w:fontKey="{AD665187-8A58-4005-8FAE-04424374E57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D9012A"/>
    <w:rsid w:val="11E15093"/>
    <w:rsid w:val="120E0809"/>
    <w:rsid w:val="19071D6C"/>
    <w:rsid w:val="19266737"/>
    <w:rsid w:val="19B5554D"/>
    <w:rsid w:val="1B8F2D19"/>
    <w:rsid w:val="1B9836A2"/>
    <w:rsid w:val="1C317E4F"/>
    <w:rsid w:val="1C472464"/>
    <w:rsid w:val="1DAF458D"/>
    <w:rsid w:val="1E086ACE"/>
    <w:rsid w:val="1E4B5CA5"/>
    <w:rsid w:val="1EAA4A5F"/>
    <w:rsid w:val="1F587A0B"/>
    <w:rsid w:val="2064678E"/>
    <w:rsid w:val="20BC0B75"/>
    <w:rsid w:val="20DD6197"/>
    <w:rsid w:val="21F317F2"/>
    <w:rsid w:val="2241392C"/>
    <w:rsid w:val="225E28C5"/>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4553</Words>
  <Characters>5316</Characters>
  <Lines>0</Lines>
  <Paragraphs>0</Paragraphs>
  <TotalTime>14</TotalTime>
  <ScaleCrop>false</ScaleCrop>
  <LinksUpToDate>false</LinksUpToDate>
  <CharactersWithSpaces>5324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2025-09-08T08:37:55Z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