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阿图什市哈拉峻乡卫生院</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为</w:t>
      </w:r>
      <w:r>
        <w:rPr>
          <w:rFonts w:hint="eastAsia" w:ascii="仿宋_GB2312" w:hAnsi="仿宋_GB2312" w:eastAsia="仿宋_GB2312"/>
          <w:sz w:val="32"/>
          <w:lang w:eastAsia="zh-CN"/>
        </w:rPr>
        <w:t>全民</w:t>
      </w:r>
      <w:r>
        <w:rPr>
          <w:rFonts w:ascii="仿宋_GB2312" w:hAnsi="仿宋_GB2312" w:eastAsia="仿宋_GB2312"/>
          <w:sz w:val="32"/>
        </w:rPr>
        <w:t>康复服务日常工作。</w:t>
      </w:r>
    </w:p>
    <w:p>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为城乡居民，职工人员等医疗工作</w:t>
      </w:r>
      <w:r>
        <w:rPr>
          <w:rFonts w:hint="eastAsia" w:ascii="仿宋_GB2312" w:hAnsi="仿宋_GB2312" w:eastAsia="仿宋_GB2312"/>
          <w:sz w:val="32"/>
          <w:lang w:eastAsia="zh-CN"/>
        </w:rPr>
        <w:t>提供保障。</w:t>
      </w:r>
    </w:p>
    <w:p>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为全民人员基本公共卫生14项服务工作。</w:t>
      </w:r>
    </w:p>
    <w:p>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为全民人员免费体检工作。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阿图什市哈拉峻乡卫生院2024年度，实有人数49人，其中：在职人员37人，减少29人；离休人员0人，增加0人；退休人员12人</w:t>
      </w:r>
      <w:r>
        <w:rPr>
          <w:rFonts w:hint="eastAsia" w:ascii="仿宋_GB2312" w:hAnsi="仿宋_GB2312" w:eastAsia="仿宋_GB2312"/>
          <w:sz w:val="32"/>
          <w:lang w:eastAsia="zh-CN"/>
        </w:rPr>
        <w:t>，</w:t>
      </w:r>
      <w:r>
        <w:rPr>
          <w:rFonts w:ascii="仿宋_GB2312" w:hAnsi="仿宋_GB2312" w:eastAsia="仿宋_GB2312"/>
          <w:sz w:val="32"/>
        </w:rPr>
        <w:t>增加1人。</w:t>
      </w:r>
    </w:p>
    <w:p>
      <w:pPr>
        <w:spacing w:line="580" w:lineRule="exact"/>
        <w:ind w:firstLine="640"/>
        <w:jc w:val="both"/>
      </w:pPr>
      <w:r>
        <w:rPr>
          <w:rFonts w:ascii="仿宋_GB2312" w:hAnsi="仿宋_GB2312" w:eastAsia="仿宋_GB2312"/>
          <w:sz w:val="32"/>
        </w:rPr>
        <w:t>阿图什市哈拉峻乡卫生院无下属预算单位，下设8个科室，分别是：财务室、公共卫生科、妇幼保健科、防疫科、体检科、院感科、行政办公室、中医科。</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2024年度收入总计1,302.70万元，</w:t>
      </w:r>
      <w:r>
        <w:rPr>
          <w:rFonts w:ascii="仿宋_GB2312" w:hAnsi="仿宋_GB2312" w:eastAsia="仿宋_GB2312"/>
          <w:b w:val="0"/>
          <w:sz w:val="32"/>
        </w:rPr>
        <w:t>其中：本年收入合计1,282.60万元，使用非财政拨款结余（含专用结余）20.10万元，年初结转和结余0.00万元。</w:t>
      </w:r>
    </w:p>
    <w:p>
      <w:pPr>
        <w:spacing w:line="580" w:lineRule="exact"/>
        <w:ind w:firstLine="640"/>
        <w:jc w:val="both"/>
      </w:pPr>
      <w:r>
        <w:rPr>
          <w:rFonts w:ascii="仿宋_GB2312" w:hAnsi="仿宋_GB2312" w:eastAsia="仿宋_GB2312"/>
          <w:b/>
          <w:sz w:val="32"/>
        </w:rPr>
        <w:t>2024年度支出总计1,302.70万元，</w:t>
      </w:r>
      <w:r>
        <w:rPr>
          <w:rFonts w:ascii="仿宋_GB2312" w:hAnsi="仿宋_GB2312" w:eastAsia="仿宋_GB2312"/>
          <w:b w:val="0"/>
          <w:sz w:val="32"/>
        </w:rPr>
        <w:t>其中：本年支出合计1,302.70万元，结余分配0.00万元，年末结转和结余0.00万元。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收入支出总体与上年相比，增加2.62万元，增长0.20%，主要原因是：本年在职人员工资调增，社保、公积金基数调增，人员经费增加。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本年收入1,282.60万元，</w:t>
      </w:r>
      <w:r>
        <w:rPr>
          <w:rFonts w:ascii="仿宋_GB2312" w:hAnsi="仿宋_GB2312" w:eastAsia="仿宋_GB2312"/>
          <w:b w:val="0"/>
          <w:sz w:val="32"/>
        </w:rPr>
        <w:t>其中：财政拨款收入877.52万元，占68.42%；上级补助收入0.00万元，占0.00%；事业收入393.69万元，占30.69%；经营收入0.00万元，占0.00%；附属单位上缴收入0.00万元，占0.00%；其他收入11.40万元，占0.89%。</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本年支出1,302.70万元，</w:t>
      </w:r>
      <w:r>
        <w:rPr>
          <w:rFonts w:ascii="仿宋_GB2312" w:hAnsi="仿宋_GB2312" w:eastAsia="仿宋_GB2312"/>
          <w:b w:val="0"/>
          <w:sz w:val="32"/>
        </w:rPr>
        <w:t>其中：基本支出1,025.22万元，占78.70%；项目支出277.48万元，占21.30%；上缴上级支出0.00万元，占0.00%；经营支出0.00万元，占0.00%；对附属单位补助支出0.00万元，占0.00%。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2024年度财政拨款收入总计877.52万元，</w:t>
      </w:r>
      <w:r>
        <w:rPr>
          <w:rFonts w:ascii="仿宋_GB2312" w:hAnsi="仿宋_GB2312" w:eastAsia="仿宋_GB2312"/>
          <w:b w:val="0"/>
          <w:sz w:val="32"/>
        </w:rPr>
        <w:t>其中：年初财政拨款结转和结余0.00万元，本年财政拨款收入877.52万元。</w:t>
      </w:r>
      <w:r>
        <w:rPr>
          <w:rFonts w:ascii="仿宋_GB2312" w:hAnsi="仿宋_GB2312" w:eastAsia="仿宋_GB2312"/>
          <w:b/>
          <w:sz w:val="32"/>
        </w:rPr>
        <w:t>财政拨款支出总计877.52万元，</w:t>
      </w:r>
      <w:r>
        <w:rPr>
          <w:rFonts w:ascii="仿宋_GB2312" w:hAnsi="仿宋_GB2312" w:eastAsia="仿宋_GB2312"/>
          <w:b w:val="0"/>
          <w:sz w:val="32"/>
        </w:rPr>
        <w:t>其中：年末财政拨款结转和结余0.00万元，本年财政拨款支出877.52万元。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增加9.44万元，增长1.09%，主要原因是：本年在职人员工资调增，社保、公积金基数调增，人员经费增加。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年初预算数835.53万元，决算数877.52万元，预决算差异率5.03%，主要原因是：年中追加人员工资、社保、公积金基数调增部分资金，导致预决算存在差异。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2024年度一般公共预算财政拨款支出874.41万元，</w:t>
      </w:r>
      <w:r>
        <w:rPr>
          <w:rFonts w:ascii="仿宋_GB2312" w:hAnsi="仿宋_GB2312" w:eastAsia="仿宋_GB2312"/>
          <w:b w:val="0"/>
          <w:sz w:val="32"/>
        </w:rPr>
        <w:t>占本年支出合计的67.12%。</w:t>
      </w:r>
      <w:r>
        <w:rPr>
          <w:rFonts w:ascii="仿宋_GB2312" w:hAnsi="仿宋_GB2312" w:eastAsia="仿宋_GB2312"/>
          <w:b/>
          <w:sz w:val="32"/>
        </w:rPr>
        <w:t>与上年相比，</w:t>
      </w:r>
      <w:r>
        <w:rPr>
          <w:rFonts w:ascii="仿宋_GB2312" w:hAnsi="仿宋_GB2312" w:eastAsia="仿宋_GB2312"/>
          <w:b w:val="0"/>
          <w:sz w:val="32"/>
        </w:rPr>
        <w:t>增加10.19万元，增长1.18%，主要原因是：本年在职人员工资调增，社保、公积金基数调增，人员经费增加。</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年初预算数834.16万元，决算数874.41万元，预决算差异率4.83%，主要原因是：年中追加人员工资、社保、公积金基数调增部分资金，导致预决算存在差异。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1.社会保障和就业支出(类)76.78万元</w:t>
      </w:r>
      <w:r>
        <w:rPr>
          <w:rFonts w:hint="eastAsia" w:ascii="仿宋_GB2312" w:hAnsi="仿宋_GB2312" w:eastAsia="仿宋_GB2312"/>
          <w:b w:val="0"/>
          <w:sz w:val="32"/>
          <w:lang w:eastAsia="zh-CN"/>
        </w:rPr>
        <w:t>，</w:t>
      </w:r>
      <w:r>
        <w:rPr>
          <w:rFonts w:ascii="仿宋_GB2312" w:hAnsi="仿宋_GB2312" w:eastAsia="仿宋_GB2312"/>
          <w:b w:val="0"/>
          <w:sz w:val="32"/>
        </w:rPr>
        <w:t>占8.78%。</w:t>
      </w:r>
    </w:p>
    <w:p>
      <w:pPr>
        <w:spacing w:line="580" w:lineRule="exact"/>
        <w:ind w:firstLine="640"/>
        <w:jc w:val="both"/>
      </w:pPr>
      <w:r>
        <w:rPr>
          <w:rFonts w:ascii="仿宋_GB2312" w:hAnsi="仿宋_GB2312" w:eastAsia="仿宋_GB2312"/>
          <w:b w:val="0"/>
          <w:sz w:val="32"/>
        </w:rPr>
        <w:t>2.卫生健康支出(类)752.23万元</w:t>
      </w:r>
      <w:r>
        <w:rPr>
          <w:rFonts w:hint="eastAsia" w:ascii="仿宋_GB2312" w:hAnsi="仿宋_GB2312" w:eastAsia="仿宋_GB2312"/>
          <w:b w:val="0"/>
          <w:sz w:val="32"/>
          <w:lang w:eastAsia="zh-CN"/>
        </w:rPr>
        <w:t>，</w:t>
      </w:r>
      <w:r>
        <w:rPr>
          <w:rFonts w:ascii="仿宋_GB2312" w:hAnsi="仿宋_GB2312" w:eastAsia="仿宋_GB2312"/>
          <w:b w:val="0"/>
          <w:sz w:val="32"/>
        </w:rPr>
        <w:t>占86.03%。</w:t>
      </w:r>
    </w:p>
    <w:p>
      <w:pPr>
        <w:spacing w:line="580" w:lineRule="exact"/>
        <w:ind w:firstLine="640"/>
        <w:jc w:val="both"/>
      </w:pPr>
      <w:r>
        <w:rPr>
          <w:rFonts w:ascii="仿宋_GB2312" w:hAnsi="仿宋_GB2312" w:eastAsia="仿宋_GB2312"/>
          <w:b w:val="0"/>
          <w:sz w:val="32"/>
        </w:rPr>
        <w:t>3.住房保障支出(类)45.40万元</w:t>
      </w:r>
      <w:r>
        <w:rPr>
          <w:rFonts w:hint="eastAsia" w:ascii="仿宋_GB2312" w:hAnsi="仿宋_GB2312" w:eastAsia="仿宋_GB2312"/>
          <w:b w:val="0"/>
          <w:sz w:val="32"/>
          <w:lang w:eastAsia="zh-CN"/>
        </w:rPr>
        <w:t>，</w:t>
      </w:r>
      <w:r>
        <w:rPr>
          <w:rFonts w:ascii="仿宋_GB2312" w:hAnsi="仿宋_GB2312" w:eastAsia="仿宋_GB2312"/>
          <w:b w:val="0"/>
          <w:sz w:val="32"/>
        </w:rPr>
        <w:t>占5.19%。</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1.社会保障和就业支出(类)行政事业单位养老支出(款)事业单位离退休(项)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支出决算数为14.90万元，比上年决算增加3.87万元，增长35.09%</w:t>
      </w:r>
      <w:r>
        <w:rPr>
          <w:rFonts w:hint="eastAsia" w:ascii="仿宋_GB2312" w:hAnsi="仿宋_GB2312" w:eastAsia="仿宋_GB2312"/>
          <w:b w:val="0"/>
          <w:sz w:val="32"/>
          <w:lang w:eastAsia="zh-CN"/>
        </w:rPr>
        <w:t>，</w:t>
      </w:r>
      <w:r>
        <w:rPr>
          <w:rFonts w:ascii="仿宋_GB2312" w:hAnsi="仿宋_GB2312" w:eastAsia="仿宋_GB2312"/>
          <w:b w:val="0"/>
          <w:sz w:val="32"/>
        </w:rPr>
        <w:t>主要原因是：本年退休人员绩效增加，导致退休费较上年增加。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支出决算数为54.13万元，比上年决算增加1.76万元，增长3.36%</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支出决算数为7.38万元，比上年决算增加1.96万元，增长36.16%</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主要原因是：本年新增退休人员，职业年金缴费支出增加。</w:t>
      </w:r>
    </w:p>
    <w:p>
      <w:pPr>
        <w:spacing w:line="580" w:lineRule="exact"/>
        <w:ind w:firstLine="640"/>
        <w:jc w:val="both"/>
      </w:pPr>
      <w:r>
        <w:rPr>
          <w:rFonts w:ascii="仿宋_GB2312" w:hAnsi="仿宋_GB2312" w:eastAsia="仿宋_GB2312"/>
          <w:b w:val="0"/>
          <w:sz w:val="32"/>
        </w:rPr>
        <w:t>4.社会保障和就业支出(类)社会福利(款)老年福利(项)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支出决算数为0.37万元，比上年决算增加0.37万元，增长100.00%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主要原因是：本年增加80岁以上高龄老人基本生活和免费体检项目经费，导致此科目经费增加。</w:t>
      </w:r>
    </w:p>
    <w:p>
      <w:pPr>
        <w:spacing w:line="580" w:lineRule="exact"/>
        <w:ind w:firstLine="640"/>
        <w:jc w:val="both"/>
      </w:pPr>
      <w:r>
        <w:rPr>
          <w:rFonts w:ascii="仿宋_GB2312" w:hAnsi="仿宋_GB2312" w:eastAsia="仿宋_GB2312"/>
          <w:b w:val="0"/>
          <w:sz w:val="32"/>
        </w:rPr>
        <w:t>5.卫生健康支出(类)基层医疗卫生机构(款)乡镇卫生院(项)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支出决算数为459.69万元，比上年决算增加19.11万元，增长4.34%</w:t>
      </w:r>
      <w:r>
        <w:rPr>
          <w:rFonts w:hint="eastAsia" w:ascii="仿宋_GB2312" w:hAnsi="仿宋_GB2312" w:eastAsia="仿宋_GB2312"/>
          <w:b w:val="0"/>
          <w:sz w:val="32"/>
          <w:lang w:eastAsia="zh-CN"/>
        </w:rPr>
        <w:t>，</w:t>
      </w:r>
      <w:r>
        <w:rPr>
          <w:rFonts w:ascii="仿宋_GB2312" w:hAnsi="仿宋_GB2312" w:eastAsia="仿宋_GB2312"/>
          <w:b w:val="0"/>
          <w:sz w:val="32"/>
        </w:rPr>
        <w:t>主要原因是：人员工资基数调增，相应基本支出增加。</w:t>
      </w:r>
    </w:p>
    <w:p>
      <w:pPr>
        <w:spacing w:line="580" w:lineRule="exact"/>
        <w:ind w:firstLine="640"/>
        <w:jc w:val="both"/>
      </w:pPr>
      <w:r>
        <w:rPr>
          <w:rFonts w:ascii="仿宋_GB2312" w:hAnsi="仿宋_GB2312" w:eastAsia="仿宋_GB2312"/>
          <w:b w:val="0"/>
          <w:sz w:val="32"/>
        </w:rPr>
        <w:t>6.卫生健康支出(类)基层医疗卫生机构(款)其他基层医疗卫生机构支出(项)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支出决算数为21.30万元，比上年决算减少4.37万元，下降17.02%</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主要原因是：本年减少基本药物补助资金项目。</w:t>
      </w:r>
    </w:p>
    <w:p>
      <w:pPr>
        <w:spacing w:line="580" w:lineRule="exact"/>
        <w:ind w:firstLine="640"/>
        <w:jc w:val="both"/>
      </w:pPr>
      <w:r>
        <w:rPr>
          <w:rFonts w:ascii="仿宋_GB2312" w:hAnsi="仿宋_GB2312" w:eastAsia="仿宋_GB2312"/>
          <w:b w:val="0"/>
          <w:sz w:val="32"/>
        </w:rPr>
        <w:t>7.卫生健康支出(类)公共卫生(款)基本公共卫生服务(项)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支出决算数为147.84万元，比上年决算减少29.21万元，下降16.50%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主要原因是：本年减少基本公共卫生服务补助资金项目。</w:t>
      </w:r>
    </w:p>
    <w:p>
      <w:pPr>
        <w:spacing w:line="580" w:lineRule="exact"/>
        <w:ind w:firstLine="640"/>
        <w:jc w:val="both"/>
      </w:pPr>
      <w:r>
        <w:rPr>
          <w:rFonts w:ascii="仿宋_GB2312" w:hAnsi="仿宋_GB2312" w:eastAsia="仿宋_GB2312"/>
          <w:b w:val="0"/>
          <w:sz w:val="32"/>
        </w:rPr>
        <w:t>8.卫生健康支出(类)公共卫生(款)其他公共卫生支出(项)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支出决算数为104.86万元，比上年决算增加17.18万元，增长19.59%</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主要原因是：本年增加公共卫生服务补助资金。</w:t>
      </w:r>
    </w:p>
    <w:p>
      <w:pPr>
        <w:spacing w:line="580" w:lineRule="exact"/>
        <w:ind w:firstLine="640"/>
        <w:jc w:val="both"/>
      </w:pPr>
      <w:r>
        <w:rPr>
          <w:rFonts w:ascii="仿宋_GB2312" w:hAnsi="仿宋_GB2312" w:eastAsia="仿宋_GB2312"/>
          <w:b w:val="0"/>
          <w:sz w:val="32"/>
        </w:rPr>
        <w:t>9.卫生健康支出(类)行政事业单位医疗(款)事业单位医疗(项)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支出决算数为18.54万元，比上年决算减少1.97万元，下降9.61%</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主要原因是：本年在职人员减少，事业单位医疗支出较上年减少。</w:t>
      </w:r>
    </w:p>
    <w:p>
      <w:pPr>
        <w:spacing w:line="580" w:lineRule="exact"/>
        <w:ind w:firstLine="640"/>
        <w:jc w:val="both"/>
      </w:pPr>
      <w:r>
        <w:rPr>
          <w:rFonts w:ascii="仿宋_GB2312" w:hAnsi="仿宋_GB2312" w:eastAsia="仿宋_GB2312"/>
          <w:b w:val="0"/>
          <w:sz w:val="32"/>
        </w:rPr>
        <w:t>10.住房保障支出(类)住房改革支出(款)住房公积金(项)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支出决算数为45.40万元，比上年决算增加1.48万元，增长3.37%</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2024年度一般公共预算财政拨款基本支出600.04万元，其中：</w:t>
      </w:r>
      <w:r>
        <w:rPr>
          <w:rFonts w:ascii="仿宋_GB2312" w:hAnsi="仿宋_GB2312" w:eastAsia="仿宋_GB2312"/>
          <w:b/>
          <w:sz w:val="32"/>
        </w:rPr>
        <w:t>人员经费600.04万元，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包括：基本工资、津贴补贴、奖金、机关事业单位基本养老保险缴费、职业年金缴费、职工基本医疗保险缴费、其他社会保障缴费、住房公积金、退休费、生活补助。</w:t>
      </w:r>
    </w:p>
    <w:p>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2024年度政府性基金预算财政拨款收入总计3.10万元，</w:t>
      </w:r>
      <w:r>
        <w:rPr>
          <w:rFonts w:ascii="仿宋_GB2312" w:hAnsi="仿宋_GB2312" w:eastAsia="仿宋_GB2312"/>
          <w:b w:val="0"/>
          <w:sz w:val="32"/>
        </w:rPr>
        <w:t>其中：年初结转和结余0.00万元，本年收入3.10万元。</w:t>
      </w:r>
      <w:r>
        <w:rPr>
          <w:rFonts w:ascii="仿宋_GB2312" w:hAnsi="仿宋_GB2312" w:eastAsia="仿宋_GB2312"/>
          <w:b/>
          <w:sz w:val="32"/>
        </w:rPr>
        <w:t>政府性基金预算财政拨款支出总计3.10万元，</w:t>
      </w:r>
      <w:r>
        <w:rPr>
          <w:rFonts w:ascii="仿宋_GB2312" w:hAnsi="仿宋_GB2312" w:eastAsia="仿宋_GB2312"/>
          <w:b w:val="0"/>
          <w:sz w:val="32"/>
        </w:rPr>
        <w:t>其中：年末结转和结余0.00万元，本年支出3.10万元。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减少0.76万元，下降19.69%，主要原因是：本年减少全民体检补助经费。</w:t>
      </w:r>
      <w:r>
        <w:rPr>
          <w:rFonts w:ascii="仿宋_GB2312" w:hAnsi="仿宋_GB2312" w:eastAsia="仿宋_GB2312"/>
          <w:b/>
          <w:sz w:val="32"/>
        </w:rPr>
        <w:t>与年初预算相比，</w:t>
      </w:r>
      <w:r>
        <w:rPr>
          <w:rFonts w:ascii="仿宋_GB2312" w:hAnsi="仿宋_GB2312" w:eastAsia="仿宋_GB2312"/>
          <w:b w:val="0"/>
          <w:sz w:val="32"/>
        </w:rPr>
        <w:t>年初预算数1.37万元，决算数3.10万元，预决算差异率126.28%，主要原因是：年中追加80岁以上老年人全面健康体检补助项目。</w:t>
      </w:r>
    </w:p>
    <w:p>
      <w:pPr>
        <w:spacing w:line="580" w:lineRule="exact"/>
        <w:ind w:firstLine="640"/>
        <w:jc w:val="both"/>
      </w:pPr>
      <w:r>
        <w:rPr>
          <w:rFonts w:ascii="仿宋_GB2312" w:hAnsi="仿宋_GB2312" w:eastAsia="仿宋_GB2312"/>
          <w:b w:val="0"/>
          <w:sz w:val="32"/>
        </w:rPr>
        <w:t>政府性基金预算财政拨款支出3.10万元。</w:t>
      </w:r>
    </w:p>
    <w:p>
      <w:pPr>
        <w:spacing w:line="580" w:lineRule="exact"/>
        <w:ind w:firstLine="640"/>
        <w:jc w:val="both"/>
      </w:pPr>
      <w:r>
        <w:rPr>
          <w:rFonts w:ascii="仿宋_GB2312" w:hAnsi="仿宋_GB2312" w:eastAsia="仿宋_GB2312"/>
          <w:b w:val="0"/>
          <w:sz w:val="32"/>
        </w:rPr>
        <w:t>1.其他支出(类)彩票公益金安排的支出(款)用于社会福利的彩票公益金支出(项)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支出决算数为2.85万元，比上年决算减少1.01万元，下降26.17%</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主要原因是：本年减少全民体检补助经费。</w:t>
      </w:r>
    </w:p>
    <w:p>
      <w:pPr>
        <w:spacing w:line="580" w:lineRule="exact"/>
        <w:ind w:firstLine="640"/>
        <w:jc w:val="both"/>
      </w:pPr>
      <w:r>
        <w:rPr>
          <w:rFonts w:ascii="仿宋_GB2312" w:hAnsi="仿宋_GB2312" w:eastAsia="仿宋_GB2312"/>
          <w:b w:val="0"/>
          <w:sz w:val="32"/>
        </w:rPr>
        <w:t>2.其他支出(类)彩票公益金安排的支出(款)用于城乡医疗救助的彩票公益金支出(项)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支出决算数为0.26万元，比上年决算增加0.26万元，增长100.00%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主要原因是：本年增加中央专项彩票公益金支持地方社会公益事业发展资金（医疗救助）资金。</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2024年度财政拨款“三公”经费支出12.68万元，</w:t>
      </w:r>
      <w:r>
        <w:rPr>
          <w:rFonts w:ascii="仿宋_GB2312" w:hAnsi="仿宋_GB2312" w:eastAsia="仿宋_GB2312"/>
          <w:b w:val="0"/>
          <w:sz w:val="32"/>
        </w:rPr>
        <w:t>比上年减少5.24万元，下降29.24%，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12.68万元，占100.00%，比上年减少5.24万元，下降29.24%，主要原因是：严格落实中央八项规定精神，厉行节约，减少公务用车运行维护费。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12.68万元，其中：公务用车购置费0.00万元，公务用车运行维护费12.68万元。公务用车运行维护费开支内容包括车辆加油费、维修费、保险费、审车费、过路费。公务用车购置数0辆，公务用车保有量4辆。国有资产占用情况中固定资产车辆4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12.68万元，决算数12.68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12.68万元，决算数12.68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2024年度阿图什市哈拉峻乡卫生院（事业单位）公用经费支出0.00万元，比上年增加0.00万元，增长0.00%，主要原因是：2023年与2024年均未安排公用经费支出。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2024年度政府采购支出总额192.05万元，其中：政府采购货物支出131.63万元、政府采购工程支出1.06万元、政府采购服务支出59.37万元。</w:t>
      </w:r>
    </w:p>
    <w:p>
      <w:pPr>
        <w:spacing w:line="580" w:lineRule="exact"/>
        <w:ind w:firstLine="640"/>
        <w:jc w:val="both"/>
      </w:pPr>
      <w:r>
        <w:rPr>
          <w:rFonts w:ascii="仿宋_GB2312" w:hAnsi="仿宋_GB2312" w:eastAsia="仿宋_GB2312"/>
          <w:b w:val="0"/>
          <w:sz w:val="32"/>
        </w:rPr>
        <w:t>授予中小企业合同金额141.00万元，占政府采购支出总额的73.42%，其中：授予小微企业合同金额138.48万元，占政府采购支出总额的72.11%。</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2,234.00平方米，价值157.38万元。车辆4辆，价值78.10万元，其中：副部（省）级及以上领导用车0辆、主要负责人用车0辆、机要通信用车0辆、应急保障用车0辆、执勤用车0辆、特种专业技术用车0辆、离退休干部服务用车0辆、其他用车4辆，其他用车主要是：本单位救护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1,302.69万元，实际执行总额1,302.69万元；预算绩效评价项目0个，全年预算数0.00万元，全年执行数0.00万元。预算绩效管理取得的成效：本单位无项目绩效支出。发现的问题及原因：本单位无项目绩效支出。下一步改进措施：本单位无项目绩效支出。具体附整体支出绩效自评表。</w:t>
      </w:r>
    </w:p>
    <w:p>
      <w:r>
        <w:br w:type="page"/>
      </w:r>
    </w:p>
    <w:tbl>
      <w:tblPr>
        <w:tblStyle w:val="10"/>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阿图什市哈拉峻乡卫生院</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827.56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1,302.69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1,302.69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default" w:eastAsia="宋体"/>
                <w:lang w:val="en-US" w:eastAsia="zh-CN"/>
              </w:rPr>
            </w:pPr>
            <w:r>
              <w:rPr>
                <w:rFonts w:hint="eastAsia" w:ascii="宋体" w:hAnsi="宋体"/>
                <w:sz w:val="16"/>
                <w:lang w:val="en-US" w:eastAsia="zh-CN"/>
              </w:rPr>
              <w:t>10.00</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250.80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277.11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277.11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576.76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1,025.58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1,025.58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单位基本职能：1、为全民人员康复服务日常工作，2、为城乡居民，职工人员等医疗工作，3，为全民人员基本公共卫生14项服务工作，4，为全民人员免费健康体检工作，5、为人民身体健康医疗与保健服务。医疗；常见病多发病护理预防 </w:t>
            </w:r>
            <w:r>
              <w:rPr>
                <w:rFonts w:ascii="宋体" w:hAnsi="宋体" w:eastAsia="宋体"/>
                <w:sz w:val="16"/>
              </w:rPr>
              <w:br w:type="textWrapping"/>
            </w:r>
            <w:r>
              <w:rPr>
                <w:rFonts w:ascii="宋体" w:hAnsi="宋体" w:eastAsia="宋体"/>
                <w:sz w:val="16"/>
              </w:rPr>
              <w:t xml:space="preserve">机构设置及人员配置：无下属预算单位，下设3个科室，编制数33，实有人数49人，在职38人，退休11人。 </w:t>
            </w:r>
            <w:r>
              <w:rPr>
                <w:rFonts w:ascii="宋体" w:hAnsi="宋体" w:eastAsia="宋体"/>
                <w:sz w:val="16"/>
              </w:rPr>
              <w:br w:type="textWrapping"/>
            </w:r>
            <w:r>
              <w:rPr>
                <w:rFonts w:ascii="宋体" w:hAnsi="宋体" w:eastAsia="宋体"/>
                <w:sz w:val="16"/>
              </w:rPr>
              <w:t>中长期规划：</w:t>
            </w:r>
            <w:r>
              <w:rPr>
                <w:rFonts w:hint="eastAsia" w:ascii="宋体" w:hAnsi="宋体"/>
                <w:sz w:val="16"/>
                <w:lang w:eastAsia="zh-CN"/>
              </w:rPr>
              <w:t>全面</w:t>
            </w:r>
            <w:r>
              <w:rPr>
                <w:rFonts w:ascii="宋体" w:hAnsi="宋体" w:eastAsia="宋体"/>
                <w:sz w:val="16"/>
              </w:rPr>
              <w:t>加强党对医疗卫生工作的全面领导，进一步规范化建设医疗质量管理体系，健全院科两级目标责任制管理体系，进一步规范城镇居民医保和城镇职工医保的管理体系，以慢病管理为抓手，加强</w:t>
            </w:r>
            <w:bookmarkStart w:id="0" w:name="_GoBack"/>
            <w:bookmarkEnd w:id="0"/>
            <w:r>
              <w:rPr>
                <w:rFonts w:ascii="宋体" w:hAnsi="宋体" w:eastAsia="宋体"/>
                <w:sz w:val="16"/>
              </w:rPr>
              <w:t>人群监管，努力提升基本公共卫生管理水平。按照新</w:t>
            </w:r>
            <w:r>
              <w:rPr>
                <w:rFonts w:hint="eastAsia" w:ascii="宋体" w:hAnsi="宋体"/>
                <w:sz w:val="16"/>
                <w:lang w:eastAsia="zh-CN"/>
              </w:rPr>
              <w:t>｛</w:t>
            </w:r>
            <w:r>
              <w:rPr>
                <w:rFonts w:ascii="宋体" w:hAnsi="宋体" w:eastAsia="宋体"/>
                <w:sz w:val="16"/>
              </w:rPr>
              <w:t>药品管理法</w:t>
            </w:r>
            <w:r>
              <w:rPr>
                <w:rFonts w:hint="eastAsia" w:ascii="宋体" w:hAnsi="宋体"/>
                <w:sz w:val="16"/>
                <w:lang w:eastAsia="zh-CN"/>
              </w:rPr>
              <w:t>｝</w:t>
            </w:r>
            <w:r>
              <w:rPr>
                <w:rFonts w:ascii="宋体" w:hAnsi="宋体" w:eastAsia="宋体"/>
                <w:sz w:val="16"/>
              </w:rPr>
              <w:t>各药房对药品质量层层验收，注重细节，尤其对药品的</w:t>
            </w:r>
            <w:r>
              <w:rPr>
                <w:rFonts w:hint="eastAsia" w:ascii="宋体" w:hAnsi="宋体"/>
                <w:sz w:val="16"/>
                <w:lang w:eastAsia="zh-CN"/>
              </w:rPr>
              <w:t>贮藏有效期</w:t>
            </w:r>
            <w:r>
              <w:rPr>
                <w:rFonts w:ascii="宋体" w:hAnsi="宋体" w:eastAsia="宋体"/>
                <w:sz w:val="16"/>
              </w:rPr>
              <w:t>严格把关，且每月各个药房，药库者进</w:t>
            </w:r>
            <w:r>
              <w:rPr>
                <w:rFonts w:hint="eastAsia" w:ascii="宋体" w:hAnsi="宋体"/>
                <w:sz w:val="16"/>
                <w:lang w:eastAsia="zh-CN"/>
              </w:rPr>
              <w:t>行有</w:t>
            </w:r>
            <w:r>
              <w:rPr>
                <w:rFonts w:ascii="宋体" w:hAnsi="宋体" w:eastAsia="宋体"/>
                <w:sz w:val="16"/>
              </w:rPr>
              <w:t>效期药品的自查，将近</w:t>
            </w:r>
            <w:r>
              <w:rPr>
                <w:rFonts w:hint="eastAsia" w:ascii="宋体" w:hAnsi="宋体"/>
                <w:sz w:val="16"/>
                <w:lang w:eastAsia="zh-CN"/>
              </w:rPr>
              <w:t>时效</w:t>
            </w:r>
            <w:r>
              <w:rPr>
                <w:rFonts w:ascii="宋体" w:hAnsi="宋体" w:eastAsia="宋体"/>
                <w:sz w:val="16"/>
              </w:rPr>
              <w:t xml:space="preserve">内的滞销药品及时上报，先使用基本药物，带量采购的药品。 </w:t>
            </w:r>
            <w:r>
              <w:rPr>
                <w:rFonts w:ascii="宋体" w:hAnsi="宋体" w:eastAsia="宋体"/>
                <w:sz w:val="16"/>
              </w:rPr>
              <w:br w:type="textWrapping"/>
            </w:r>
            <w:r>
              <w:rPr>
                <w:rFonts w:ascii="宋体" w:hAnsi="宋体" w:eastAsia="宋体"/>
                <w:sz w:val="16"/>
              </w:rPr>
              <w:t xml:space="preserve">    保障单位在职32人，退休10人的工资福利及各项补助正常发放及部门正常运转；保障单位顺利指导学习各级各类医疗工作，对全市医疗卫生培训工作，提高医疗技术能力，提高医护人员幸福感、归属感，积极卫生院文化建设，培养医护人员全面发展。</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 本单位共计支出1302.69万元，用于保障部门在职38人，退休11人的工资福利、各项补助正常发放及部门单位正常运转，单位预算项目根据年初计划均已完成，保障单位顺利检查指导学习各级各类医疗工作，对全市开展医疗卫生培训工作，提高医疗技术能力，提高医护人员幸福感、归属感，积极开展卫生院文化建设，培养医护人员全面发展，年度任务中完成孕期保健服务和2次产后访视5次，中医药知识开展健康教育4次等目标。</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rPr>
          <w:trHeight w:val="799" w:hRule="atLeast"/>
        </w:trPr>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基本公共卫生服务工作覆盖率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群众疫苗服务工作覆盖率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孕期保健服务和2次产后访视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中医药知识开展健康教育</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群众医疗与保健工作完成及时性</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F1B564E-8F2F-4D14-870B-97418B2CDE1F}"/>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embedRegular r:id="rId2" w:fontKey="{1EB13311-BCAF-4DEC-B6E9-B72DF1AE0FAE}"/>
  </w:font>
  <w:font w:name="仿宋_GB2312">
    <w:panose1 w:val="02010609030101010101"/>
    <w:charset w:val="86"/>
    <w:family w:val="modern"/>
    <w:pitch w:val="default"/>
    <w:sig w:usb0="00000001" w:usb1="080E0000" w:usb2="00000000" w:usb3="00000000" w:csb0="00040000" w:csb1="00000000"/>
    <w:embedRegular r:id="rId3" w:fontKey="{389CC651-3F25-4AF8-8364-0C6A600E1860}"/>
  </w:font>
  <w:font w:name="楷体_GB2312">
    <w:panose1 w:val="02010609030101010101"/>
    <w:charset w:val="86"/>
    <w:family w:val="auto"/>
    <w:pitch w:val="default"/>
    <w:sig w:usb0="00000001" w:usb1="080E0000" w:usb2="00000000" w:usb3="00000000" w:csb0="00040000" w:csb1="00000000"/>
    <w:embedRegular r:id="rId4" w:fontKey="{D302D8FB-B853-4CD9-86F9-1DE90A37592D}"/>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D9012A"/>
    <w:rsid w:val="11E15093"/>
    <w:rsid w:val="120E0809"/>
    <w:rsid w:val="17020D07"/>
    <w:rsid w:val="19071D6C"/>
    <w:rsid w:val="19266737"/>
    <w:rsid w:val="19B5554D"/>
    <w:rsid w:val="1B8F2D19"/>
    <w:rsid w:val="1B9836A2"/>
    <w:rsid w:val="1C317E4F"/>
    <w:rsid w:val="1C472464"/>
    <w:rsid w:val="1DAF458D"/>
    <w:rsid w:val="1E086ACE"/>
    <w:rsid w:val="1E4B5CA5"/>
    <w:rsid w:val="1EAA4A5F"/>
    <w:rsid w:val="1F587A0B"/>
    <w:rsid w:val="2064678E"/>
    <w:rsid w:val="20BC0B75"/>
    <w:rsid w:val="20DD6197"/>
    <w:rsid w:val="21F317F2"/>
    <w:rsid w:val="2241392C"/>
    <w:rsid w:val="225E28C5"/>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9BE3017"/>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4553</Words>
  <Characters>5316</Characters>
  <Lines>0</Lines>
  <Paragraphs>0</Paragraphs>
  <TotalTime>14</TotalTime>
  <ScaleCrop>false</ScaleCrop>
  <LinksUpToDate>false</LinksUpToDate>
  <CharactersWithSpaces>5324</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2025-09-23T12:03:43Z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B858A68E913346F885B5BC17D4DBEB06_13</vt:lpwstr>
  </property>
  <property fmtid="{D5CDD505-2E9C-101B-9397-08002B2CF9AE}" pid="4" name="KSOTemplateDocerSaveRecord">
    <vt:lpwstr>eyJoZGlkIjoiNTliMzZiYjRlN2VlNDIwNWJkNWMyNGYxMWEyN2ViYWUiLCJ1c2VySWQiOiI0NDQ5NDYzNjEifQ==</vt:lpwstr>
  </property>
</Properties>
</file>