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主要负责国土资源、规划建设、园林绿化、环境保护、交通等方面的服务工作；协助乡政府制定国土资源、规划建设、园林绿化、环境保护、交通工作的规划和年度计划并组织实施；协助乡政府贯彻落实统筹城乡发展、加快推进城乡一体化工作总体部署和目标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阿图什市哈拉峻乡村镇规划建设发展中心（生态环境工作站）2024年度，实有人数5人，其中：在职人员5人，增加2人；离休人员0人，增加0人；退休人员0人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阿图什市哈拉峻乡村镇规划建设发展中心（生态环境工作站）无下属预算单位，下设2个科室，分别是：所长室、业务办公室。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2024年度收入总计39.50万元，</w:t>
      </w:r>
      <w:r>
        <w:rPr>
          <w:rFonts w:ascii="仿宋_GB2312" w:hAnsi="仿宋_GB2312" w:eastAsia="仿宋_GB2312"/>
          <w:b w:val="0"/>
          <w:sz w:val="32"/>
        </w:rPr>
        <w:t>其中：本年收入合计39.50万元，使用非财政拨款结余（含专用结余）0.00万元，年初结转和结余0.00万元。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2024年度支出总计39.50万元，</w:t>
      </w:r>
      <w:r>
        <w:rPr>
          <w:rFonts w:ascii="仿宋_GB2312" w:hAnsi="仿宋_GB2312" w:eastAsia="仿宋_GB2312"/>
          <w:b w:val="0"/>
          <w:sz w:val="32"/>
        </w:rPr>
        <w:t>其中：本年支出合计39.50万元，结余分配0.00万元，年末结转和结余0.00万元。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收入支出总体与上年相比，增加0.24万元，增长0.61%，主要原因是：本年在职人员增加，在职人员工资调增、社保、公积金基数调增，人员经费增加。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本年收入39.50万元，</w:t>
      </w:r>
      <w:r>
        <w:rPr>
          <w:rFonts w:ascii="仿宋_GB2312" w:hAnsi="仿宋_GB2312" w:eastAsia="仿宋_GB2312"/>
          <w:b w:val="0"/>
          <w:sz w:val="32"/>
        </w:rPr>
        <w:t>其中：财政拨款收入39.50万元，占100.00%；上级补助收入0.00万元，占0.00%；事业收入0.00万元，占0.00%；经营收入0.00万元，占0.00%；附属单位上缴收入0.00万元，占0.00%；其他收入0.00万元，占0.00%。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本年支出39.50万元，</w:t>
      </w:r>
      <w:r>
        <w:rPr>
          <w:rFonts w:ascii="仿宋_GB2312" w:hAnsi="仿宋_GB2312" w:eastAsia="仿宋_GB2312"/>
          <w:b w:val="0"/>
          <w:sz w:val="32"/>
        </w:rPr>
        <w:t>其中：基本支出39.50万元，占100.00%；项目支出0.00万元，占0.00%；上缴上级支出0.00万元，占0.00%；经营支出0.00万元，占0.00%；对附属单位补助支出0.00万元，占0.00%。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2024年度财政拨款收入总计39.50万元，</w:t>
      </w:r>
      <w:r>
        <w:rPr>
          <w:rFonts w:ascii="仿宋_GB2312" w:hAnsi="仿宋_GB2312" w:eastAsia="仿宋_GB2312"/>
          <w:b w:val="0"/>
          <w:sz w:val="32"/>
        </w:rPr>
        <w:t>其中：年初财政拨款结转和结余0.00万元，本年财政拨款收入39.50万元。</w:t>
      </w:r>
      <w:r>
        <w:rPr>
          <w:rFonts w:ascii="仿宋_GB2312" w:hAnsi="仿宋_GB2312" w:eastAsia="仿宋_GB2312"/>
          <w:b/>
          <w:sz w:val="32"/>
        </w:rPr>
        <w:t>财政拨款支出总计39.50万元，</w:t>
      </w:r>
      <w:r>
        <w:rPr>
          <w:rFonts w:ascii="仿宋_GB2312" w:hAnsi="仿宋_GB2312" w:eastAsia="仿宋_GB2312"/>
          <w:b w:val="0"/>
          <w:sz w:val="32"/>
        </w:rPr>
        <w:t>其中：年末财政拨款结转和结余0.00万元，本年财政拨款支出39.50万元。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增加0.24万元，增长0.61%，主要原因是：本年在职人员增加，在职人员工资调增、社保、公积金基数调增，人员经费增加。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年初预算数46.77万元，决算数39.50万元，预决算差异率-15.54%，主要原因是：本年在职人员调入调出，人员职级不同，缴费基数不同，年中调减人员经费，导致预决算存在差异。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2024年度一般公共预算财政拨款支出39.50万元，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增加0.24万元，增长0.61%，主要原因是：本年在职人员增加，在职人员工资调增、社保、公积金基数调增，人员经费增加。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年初预算数46.77万元，决算数39.50万元，预决算差异率-15.54%，主要原因是：本年在职人员调入调出，人员职级不同，缴费基数不同，年中调减人员经费，导致预决算存在差异。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1.社会保障和就业支出(类)3.54万元</w:t>
      </w:r>
      <w:r>
        <w:rPr>
          <w:rFonts w:hint="eastAsia" w:ascii="仿宋_GB2312" w:hAnsi="仿宋_GB2312" w:eastAsia="仿宋_GB2312"/>
          <w:b w:val="0"/>
          <w:sz w:val="32"/>
          <w:lang w:eastAsia="zh-CN"/>
        </w:rPr>
        <w:t>，</w:t>
      </w:r>
      <w:r>
        <w:rPr>
          <w:rFonts w:ascii="仿宋_GB2312" w:hAnsi="仿宋_GB2312" w:eastAsia="仿宋_GB2312"/>
          <w:b w:val="0"/>
          <w:sz w:val="32"/>
        </w:rPr>
        <w:t>占8.96%。</w:t>
      </w:r>
    </w:p>
    <w:p>
      <w:pPr>
        <w:spacing w:line="580" w:lineRule="exact"/>
        <w:ind w:firstLine="640"/>
        <w:jc w:val="both"/>
      </w:pPr>
      <w:r>
        <w:rPr>
          <w:rFonts w:ascii="仿宋_GB2312" w:hAnsi="仿宋_GB2312" w:eastAsia="仿宋_GB2312"/>
          <w:b w:val="0"/>
          <w:sz w:val="32"/>
        </w:rPr>
        <w:t>2.卫生健康支出(类)1.18万元</w:t>
      </w:r>
      <w:r>
        <w:rPr>
          <w:rFonts w:hint="eastAsia" w:ascii="仿宋_GB2312" w:hAnsi="仿宋_GB2312" w:eastAsia="仿宋_GB2312"/>
          <w:b w:val="0"/>
          <w:sz w:val="32"/>
          <w:lang w:eastAsia="zh-CN"/>
        </w:rPr>
        <w:t>，</w:t>
      </w:r>
      <w:r>
        <w:rPr>
          <w:rFonts w:ascii="仿宋_GB2312" w:hAnsi="仿宋_GB2312" w:eastAsia="仿宋_GB2312"/>
          <w:b w:val="0"/>
          <w:sz w:val="32"/>
        </w:rPr>
        <w:t>占2.99%。</w:t>
      </w:r>
    </w:p>
    <w:p>
      <w:pPr>
        <w:spacing w:line="580" w:lineRule="exact"/>
        <w:ind w:firstLine="640"/>
        <w:jc w:val="both"/>
      </w:pPr>
      <w:r>
        <w:rPr>
          <w:rFonts w:ascii="仿宋_GB2312" w:hAnsi="仿宋_GB2312" w:eastAsia="仿宋_GB2312"/>
          <w:b w:val="0"/>
          <w:sz w:val="32"/>
        </w:rPr>
        <w:t>3.自然资源海洋气象等支出(类)31.85万元</w:t>
      </w:r>
      <w:r>
        <w:rPr>
          <w:rFonts w:hint="eastAsia" w:ascii="仿宋_GB2312" w:hAnsi="仿宋_GB2312" w:eastAsia="仿宋_GB2312"/>
          <w:b w:val="0"/>
          <w:sz w:val="32"/>
          <w:lang w:eastAsia="zh-CN"/>
        </w:rPr>
        <w:t>，</w:t>
      </w:r>
      <w:r>
        <w:rPr>
          <w:rFonts w:ascii="仿宋_GB2312" w:hAnsi="仿宋_GB2312" w:eastAsia="仿宋_GB2312"/>
          <w:b w:val="0"/>
          <w:sz w:val="32"/>
        </w:rPr>
        <w:t>占80.63%。</w:t>
      </w:r>
    </w:p>
    <w:p>
      <w:pPr>
        <w:spacing w:line="580" w:lineRule="exact"/>
        <w:ind w:firstLine="640"/>
        <w:jc w:val="both"/>
      </w:pPr>
      <w:r>
        <w:rPr>
          <w:rFonts w:ascii="仿宋_GB2312" w:hAnsi="仿宋_GB2312" w:eastAsia="仿宋_GB2312"/>
          <w:b w:val="0"/>
          <w:sz w:val="32"/>
        </w:rPr>
        <w:t>4.住房保障支出(类)2.93万元</w:t>
      </w:r>
      <w:r>
        <w:rPr>
          <w:rFonts w:hint="eastAsia" w:ascii="仿宋_GB2312" w:hAnsi="仿宋_GB2312" w:eastAsia="仿宋_GB2312"/>
          <w:b w:val="0"/>
          <w:sz w:val="32"/>
          <w:lang w:eastAsia="zh-CN"/>
        </w:rPr>
        <w:t>，</w:t>
      </w:r>
      <w:r>
        <w:rPr>
          <w:rFonts w:ascii="仿宋_GB2312" w:hAnsi="仿宋_GB2312" w:eastAsia="仿宋_GB2312"/>
          <w:b w:val="0"/>
          <w:sz w:val="32"/>
        </w:rPr>
        <w:t>占7.42%。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支出决算数为3.54万元，比上年决算增加0.67万元，增长23.34%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支出决算数为1.18万元，比上年决算增加0.36万元，增长43.90%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3.自然资源海洋气象等支出(类)自然资源事务(款)其他自然资源事务支出(项)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支出决算数为31.85万元，比上年决算减少1.51万元，下降4.53%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主要原因是：本年在职人员调入调出，人员职级不同，缴费基数不同，相关人员经费支出减少。</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支出决算数为2.93万元，比上年决算增加0.72万元，增长32.58%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2024年度一般公共预算财政拨款基本支出39.50万元，其中：</w:t>
      </w:r>
      <w:r>
        <w:rPr>
          <w:rFonts w:ascii="仿宋_GB2312" w:hAnsi="仿宋_GB2312" w:eastAsia="仿宋_GB2312"/>
          <w:b/>
          <w:sz w:val="32"/>
        </w:rPr>
        <w:t>人员经费39.05万元，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公用经费0.45万元，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2024年度阿图什市哈拉峻乡村镇规划建设发展中心（生态环境工作站）（事业单位）公用经费支出0.45万元，比上年减少0.30万元，下降40.00%，主要原因是：严控经费支出，厉行节约，减少经费支出。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2024年度政府采购支出总额0.42万元，其中：政府采购货物支出0.42万元、政府采购工程支出0.00万元、政府采购服务支出0.00万元。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授予中小企业合同金额0.42万元，占政府采购支出总额的100.00%，其中：授予小微企业合同金额0.42万元，占政府采购支出总额的100.00%。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FA8133-AF35-4100-85D5-F0C11A32C4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893A5D9C-6A61-48BA-90EC-62A042413C07}"/>
  </w:font>
  <w:font w:name="仿宋_GB2312">
    <w:panose1 w:val="02010609030101010101"/>
    <w:charset w:val="86"/>
    <w:family w:val="modern"/>
    <w:pitch w:val="default"/>
    <w:sig w:usb0="00000001" w:usb1="080E0000" w:usb2="00000000" w:usb3="00000000" w:csb0="00040000" w:csb1="00000000"/>
    <w:embedRegular r:id="rId3" w:fontKey="{1314E974-3456-4093-A574-D0079E21638A}"/>
  </w:font>
  <w:font w:name="楷体_GB2312">
    <w:panose1 w:val="02010609030101010101"/>
    <w:charset w:val="86"/>
    <w:family w:val="auto"/>
    <w:pitch w:val="default"/>
    <w:sig w:usb0="00000001" w:usb1="080E0000" w:usb2="00000000" w:usb3="00000000" w:csb0="00040000" w:csb1="00000000"/>
    <w:embedRegular r:id="rId4" w:fontKey="{A5DAA51C-A4C2-456B-AB3A-E0DA062385D3}"/>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285884"/>
    <w:rsid w:val="52F92565"/>
    <w:rsid w:val="543D17CB"/>
    <w:rsid w:val="55DA564E"/>
    <w:rsid w:val="561B3456"/>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4408DC"/>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4820</Words>
  <Characters>5368</Characters>
  <Lines>0</Lines>
  <Paragraphs>0</Paragraphs>
  <TotalTime>0</TotalTime>
  <ScaleCrop>false</ScaleCrop>
  <LinksUpToDate>false</LinksUpToDate>
  <CharactersWithSpaces>5378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