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阿图什市格达良乡卫生院2024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1BD0D13">
      <w:r>
        <w:br w:type="page"/>
      </w:r>
    </w:p>
    <w:p w14:paraId="05FDB7FB">
      <w:pPr>
        <w:spacing w:line="640" w:lineRule="exact"/>
        <w:jc w:val="center"/>
        <w:outlineLvl w:val="1"/>
      </w:pPr>
      <w:r>
        <w:rPr>
          <w:rFonts w:ascii="黑体" w:hAnsi="黑体" w:eastAsia="黑体"/>
          <w:sz w:val="32"/>
        </w:rPr>
        <w:t>第一部分 单位概况</w:t>
      </w:r>
    </w:p>
    <w:p w14:paraId="0CB06A2C">
      <w:pPr>
        <w:spacing w:line="640" w:lineRule="exact"/>
        <w:ind w:firstLine="640"/>
        <w:jc w:val="both"/>
        <w:outlineLvl w:val="2"/>
      </w:pPr>
      <w:r>
        <w:rPr>
          <w:rFonts w:ascii="黑体" w:hAnsi="黑体" w:eastAsia="黑体"/>
          <w:sz w:val="32"/>
        </w:rPr>
        <w:t>一、主要职能</w:t>
      </w:r>
    </w:p>
    <w:p w14:paraId="787E1FCA">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为全民人员康复服务日常工作。</w:t>
      </w:r>
    </w:p>
    <w:p w14:paraId="16025649">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为城乡居民，职工人员等医疗工作。</w:t>
      </w:r>
    </w:p>
    <w:p w14:paraId="2A3E0277">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为全民人员基本公共卫生14项服务工作。</w:t>
      </w:r>
    </w:p>
    <w:p w14:paraId="3F786E34">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为全民人员免费体检工作。</w:t>
      </w:r>
    </w:p>
    <w:p w14:paraId="656432F8">
      <w:pPr>
        <w:spacing w:line="640" w:lineRule="exact"/>
        <w:ind w:firstLine="640"/>
        <w:jc w:val="both"/>
        <w:outlineLvl w:val="2"/>
      </w:pPr>
      <w:r>
        <w:rPr>
          <w:rFonts w:ascii="黑体" w:hAnsi="黑体" w:eastAsia="黑体"/>
          <w:sz w:val="32"/>
        </w:rPr>
        <w:t>二、机构设置及人员情况</w:t>
      </w:r>
    </w:p>
    <w:p w14:paraId="370618A6">
      <w:pPr>
        <w:spacing w:line="580" w:lineRule="exact"/>
        <w:ind w:firstLine="640"/>
        <w:jc w:val="both"/>
      </w:pPr>
      <w:r>
        <w:rPr>
          <w:rFonts w:ascii="仿宋_GB2312" w:hAnsi="仿宋_GB2312" w:eastAsia="仿宋_GB2312"/>
          <w:sz w:val="32"/>
        </w:rPr>
        <w:t>阿图什市格达良乡卫生院2024年度，实有人数51人，其中：在职人员43人，减少22人；离休人员0人，增加0人；退休人员8人</w:t>
      </w:r>
      <w:r>
        <w:rPr>
          <w:rFonts w:hint="eastAsia" w:ascii="仿宋_GB2312" w:hAnsi="仿宋_GB2312" w:eastAsia="仿宋_GB2312"/>
          <w:sz w:val="32"/>
          <w:lang w:eastAsia="zh-CN"/>
        </w:rPr>
        <w:t>，</w:t>
      </w:r>
      <w:r>
        <w:rPr>
          <w:rFonts w:ascii="仿宋_GB2312" w:hAnsi="仿宋_GB2312" w:eastAsia="仿宋_GB2312"/>
          <w:sz w:val="32"/>
        </w:rPr>
        <w:t>增加1人。</w:t>
      </w:r>
    </w:p>
    <w:p w14:paraId="3E6FA001">
      <w:pPr>
        <w:spacing w:line="580" w:lineRule="exact"/>
        <w:ind w:firstLine="640"/>
        <w:jc w:val="both"/>
      </w:pPr>
      <w:r>
        <w:rPr>
          <w:rFonts w:ascii="仿宋_GB2312" w:hAnsi="仿宋_GB2312" w:eastAsia="仿宋_GB2312"/>
          <w:sz w:val="32"/>
        </w:rPr>
        <w:t>阿图什市格达良乡卫生院无下属预算单位，下设8个科室，分别是：预防保健科、妇幼保健科、全科医疗科、民族医学科、内科、妇产科、医学检验科、医学影像科。</w:t>
      </w:r>
    </w:p>
    <w:p w14:paraId="53A83DE8">
      <w:r>
        <w:br w:type="page"/>
      </w:r>
    </w:p>
    <w:p w14:paraId="2305762F">
      <w:pPr>
        <w:spacing w:line="240" w:lineRule="auto"/>
        <w:jc w:val="center"/>
        <w:outlineLvl w:val="1"/>
      </w:pPr>
      <w:r>
        <w:rPr>
          <w:rFonts w:ascii="黑体" w:hAnsi="黑体" w:eastAsia="黑体"/>
          <w:sz w:val="32"/>
        </w:rPr>
        <w:t>第二部分 部门决算情况说明</w:t>
      </w:r>
    </w:p>
    <w:p w14:paraId="7192F5B2">
      <w:pPr>
        <w:spacing w:line="640" w:lineRule="exact"/>
        <w:ind w:firstLine="640"/>
        <w:jc w:val="both"/>
        <w:outlineLvl w:val="2"/>
      </w:pPr>
      <w:r>
        <w:rPr>
          <w:rFonts w:ascii="黑体" w:hAnsi="黑体" w:eastAsia="黑体"/>
          <w:sz w:val="32"/>
        </w:rPr>
        <w:t>一、收入支出决算总体情况说明</w:t>
      </w:r>
    </w:p>
    <w:p w14:paraId="26BB66A4">
      <w:pPr>
        <w:spacing w:line="580" w:lineRule="exact"/>
        <w:ind w:firstLine="640"/>
        <w:jc w:val="both"/>
      </w:pPr>
      <w:r>
        <w:rPr>
          <w:rFonts w:ascii="仿宋_GB2312" w:hAnsi="仿宋_GB2312" w:eastAsia="仿宋_GB2312"/>
          <w:b/>
          <w:sz w:val="32"/>
        </w:rPr>
        <w:t>2024年度收入总计1,210.93万元，</w:t>
      </w:r>
      <w:r>
        <w:rPr>
          <w:rFonts w:ascii="仿宋_GB2312" w:hAnsi="仿宋_GB2312" w:eastAsia="仿宋_GB2312"/>
          <w:b w:val="0"/>
          <w:sz w:val="32"/>
        </w:rPr>
        <w:t>其中：本年收入合计1,210.93万元，使用非财政拨款结余（含专用结余）0.00万元，年初结转和结余0.00万元。</w:t>
      </w:r>
    </w:p>
    <w:p w14:paraId="488E4359">
      <w:pPr>
        <w:spacing w:line="580" w:lineRule="exact"/>
        <w:ind w:firstLine="640"/>
        <w:jc w:val="both"/>
      </w:pPr>
      <w:r>
        <w:rPr>
          <w:rFonts w:ascii="仿宋_GB2312" w:hAnsi="仿宋_GB2312" w:eastAsia="仿宋_GB2312"/>
          <w:b/>
          <w:sz w:val="32"/>
        </w:rPr>
        <w:t>2024年度支出总计1,210.93万元，</w:t>
      </w:r>
      <w:r>
        <w:rPr>
          <w:rFonts w:ascii="仿宋_GB2312" w:hAnsi="仿宋_GB2312" w:eastAsia="仿宋_GB2312"/>
          <w:b w:val="0"/>
          <w:sz w:val="32"/>
        </w:rPr>
        <w:t>其中：本年支出合计1,204.80万元，结余分配6.13万元，年末结转和结余0.00万元。</w:t>
      </w:r>
    </w:p>
    <w:p w14:paraId="3C5DB305">
      <w:pPr>
        <w:spacing w:line="580" w:lineRule="exact"/>
        <w:ind w:firstLine="640"/>
        <w:jc w:val="both"/>
      </w:pPr>
      <w:r>
        <w:rPr>
          <w:rFonts w:ascii="仿宋_GB2312" w:hAnsi="仿宋_GB2312" w:eastAsia="仿宋_GB2312"/>
          <w:b w:val="0"/>
          <w:sz w:val="32"/>
        </w:rPr>
        <w:t>收入支出总体与上年相比，增加11.43万元，增长0.95%，主要原因是：本年看病就诊人员增加，事业收入增加。</w:t>
      </w:r>
    </w:p>
    <w:p w14:paraId="24E785B0">
      <w:pPr>
        <w:spacing w:line="640" w:lineRule="exact"/>
        <w:ind w:firstLine="640"/>
        <w:jc w:val="both"/>
        <w:outlineLvl w:val="2"/>
      </w:pPr>
      <w:r>
        <w:rPr>
          <w:rFonts w:ascii="黑体" w:hAnsi="黑体" w:eastAsia="黑体"/>
          <w:sz w:val="32"/>
        </w:rPr>
        <w:t>二、收入决算情况说明</w:t>
      </w:r>
    </w:p>
    <w:p w14:paraId="6B32AB9F">
      <w:pPr>
        <w:spacing w:line="580" w:lineRule="exact"/>
        <w:ind w:firstLine="640"/>
        <w:jc w:val="both"/>
      </w:pPr>
      <w:r>
        <w:rPr>
          <w:rFonts w:ascii="仿宋_GB2312" w:hAnsi="仿宋_GB2312" w:eastAsia="仿宋_GB2312"/>
          <w:b/>
          <w:sz w:val="32"/>
        </w:rPr>
        <w:t>本年收入1,210.93万元，</w:t>
      </w:r>
      <w:r>
        <w:rPr>
          <w:rFonts w:ascii="仿宋_GB2312" w:hAnsi="仿宋_GB2312" w:eastAsia="仿宋_GB2312"/>
          <w:b w:val="0"/>
          <w:sz w:val="32"/>
        </w:rPr>
        <w:t>其中：财政拨款收入935.89万元，占77.29%；上级补助收入0.00万元，占0.00%；事业收入275.02万元，占22.71%；经营收入0.00万元，占0.00%；附属单位上缴收入0.00万元，占0.00%；其他收入0.02万元，占0.002%。</w:t>
      </w:r>
    </w:p>
    <w:p w14:paraId="0E640BA7">
      <w:pPr>
        <w:spacing w:line="640" w:lineRule="exact"/>
        <w:ind w:firstLine="640"/>
        <w:jc w:val="both"/>
        <w:outlineLvl w:val="2"/>
      </w:pPr>
      <w:r>
        <w:rPr>
          <w:rFonts w:ascii="黑体" w:hAnsi="黑体" w:eastAsia="黑体"/>
          <w:sz w:val="32"/>
        </w:rPr>
        <w:t>三、支出决算情况说明</w:t>
      </w:r>
    </w:p>
    <w:p w14:paraId="6EC9BE64">
      <w:pPr>
        <w:spacing w:line="580" w:lineRule="exact"/>
        <w:ind w:firstLine="640"/>
        <w:jc w:val="both"/>
      </w:pPr>
      <w:r>
        <w:rPr>
          <w:rFonts w:ascii="仿宋_GB2312" w:hAnsi="仿宋_GB2312" w:eastAsia="仿宋_GB2312"/>
          <w:b/>
          <w:sz w:val="32"/>
        </w:rPr>
        <w:t>本年支出1,204.80万元，</w:t>
      </w:r>
      <w:r>
        <w:rPr>
          <w:rFonts w:ascii="仿宋_GB2312" w:hAnsi="仿宋_GB2312" w:eastAsia="仿宋_GB2312"/>
          <w:b w:val="0"/>
          <w:sz w:val="32"/>
        </w:rPr>
        <w:t>其中：基本支出953.25万元，占79.12%；项目支出251.55万元，占20.88%；上缴上级支出0.00万元，占0.00%；经营支出0.00万元，占0.00%；对附属单位补助支出0.00万元，占0.00%。</w:t>
      </w:r>
    </w:p>
    <w:p w14:paraId="63BF6AED">
      <w:pPr>
        <w:spacing w:line="640" w:lineRule="exact"/>
        <w:ind w:firstLine="640"/>
        <w:jc w:val="both"/>
        <w:outlineLvl w:val="2"/>
      </w:pPr>
      <w:r>
        <w:rPr>
          <w:rFonts w:ascii="黑体" w:hAnsi="黑体" w:eastAsia="黑体"/>
          <w:sz w:val="32"/>
        </w:rPr>
        <w:t>四、财政拨款收入支出决算总体情况说明</w:t>
      </w:r>
    </w:p>
    <w:p w14:paraId="5AAB6313">
      <w:pPr>
        <w:spacing w:line="580" w:lineRule="exact"/>
        <w:ind w:firstLine="640"/>
        <w:jc w:val="both"/>
      </w:pPr>
      <w:r>
        <w:rPr>
          <w:rFonts w:ascii="仿宋_GB2312" w:hAnsi="仿宋_GB2312" w:eastAsia="仿宋_GB2312"/>
          <w:b/>
          <w:sz w:val="32"/>
        </w:rPr>
        <w:t>2024年度财政拨款收入总计935.89万元，</w:t>
      </w:r>
      <w:r>
        <w:rPr>
          <w:rFonts w:ascii="仿宋_GB2312" w:hAnsi="仿宋_GB2312" w:eastAsia="仿宋_GB2312"/>
          <w:b w:val="0"/>
          <w:sz w:val="32"/>
        </w:rPr>
        <w:t>其中：年初财政拨款结转和结余0.00万元，本年财政拨款收入935.89万元。</w:t>
      </w:r>
      <w:r>
        <w:rPr>
          <w:rFonts w:ascii="仿宋_GB2312" w:hAnsi="仿宋_GB2312" w:eastAsia="仿宋_GB2312"/>
          <w:b/>
          <w:sz w:val="32"/>
        </w:rPr>
        <w:t>财政拨款支出总计935.89万元，</w:t>
      </w:r>
      <w:r>
        <w:rPr>
          <w:rFonts w:ascii="仿宋_GB2312" w:hAnsi="仿宋_GB2312" w:eastAsia="仿宋_GB2312"/>
          <w:b w:val="0"/>
          <w:sz w:val="32"/>
        </w:rPr>
        <w:t>其中：年末财政拨款结转和结余0.00万元，本年财政拨款支出935.89万元。</w:t>
      </w:r>
    </w:p>
    <w:p w14:paraId="2273F47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减少24.56万元，下降2.56%，主要原因是：本年减少救护车采购款，相关支出减少。</w:t>
      </w:r>
      <w:r>
        <w:rPr>
          <w:rFonts w:ascii="仿宋_GB2312" w:hAnsi="仿宋_GB2312" w:eastAsia="仿宋_GB2312"/>
          <w:b/>
          <w:sz w:val="32"/>
        </w:rPr>
        <w:t>与年初预算相比，</w:t>
      </w:r>
      <w:r>
        <w:rPr>
          <w:rFonts w:ascii="仿宋_GB2312" w:hAnsi="仿宋_GB2312" w:eastAsia="仿宋_GB2312"/>
          <w:b w:val="0"/>
          <w:sz w:val="32"/>
        </w:rPr>
        <w:t>年初预算数941.17万元，决算数935.89万元，预决算差异率-0.56%，主要原因是：严格落实中央八项规定精神，厉行节约，减少不必要的开支。</w:t>
      </w:r>
    </w:p>
    <w:p w14:paraId="58230B87">
      <w:pPr>
        <w:spacing w:line="640" w:lineRule="exact"/>
        <w:ind w:firstLine="640"/>
        <w:jc w:val="both"/>
        <w:outlineLvl w:val="2"/>
      </w:pPr>
      <w:r>
        <w:rPr>
          <w:rFonts w:ascii="黑体" w:hAnsi="黑体" w:eastAsia="黑体"/>
          <w:sz w:val="32"/>
        </w:rPr>
        <w:t>五、一般公共预算财政拨款支出决算情况说明</w:t>
      </w:r>
    </w:p>
    <w:p w14:paraId="74601073">
      <w:pPr>
        <w:spacing w:line="640" w:lineRule="exact"/>
        <w:ind w:firstLine="640"/>
        <w:jc w:val="both"/>
        <w:outlineLvl w:val="3"/>
      </w:pPr>
      <w:r>
        <w:rPr>
          <w:rFonts w:ascii="楷体_GB2312" w:hAnsi="楷体_GB2312" w:eastAsia="楷体_GB2312"/>
          <w:b/>
          <w:sz w:val="32"/>
        </w:rPr>
        <w:t>（一）一般公共预算财政拨款支出决算总体情况</w:t>
      </w:r>
    </w:p>
    <w:p w14:paraId="58C78043">
      <w:pPr>
        <w:spacing w:line="580" w:lineRule="exact"/>
        <w:ind w:firstLine="640"/>
        <w:jc w:val="both"/>
      </w:pPr>
      <w:r>
        <w:rPr>
          <w:rFonts w:ascii="仿宋_GB2312" w:hAnsi="仿宋_GB2312" w:eastAsia="仿宋_GB2312"/>
          <w:b/>
          <w:sz w:val="32"/>
        </w:rPr>
        <w:t>2024年度一般公共预算财政拨款支出930.25万元，</w:t>
      </w:r>
      <w:r>
        <w:rPr>
          <w:rFonts w:ascii="仿宋_GB2312" w:hAnsi="仿宋_GB2312" w:eastAsia="仿宋_GB2312"/>
          <w:b w:val="0"/>
          <w:sz w:val="32"/>
        </w:rPr>
        <w:t>占本年支出合计的77.21%。</w:t>
      </w:r>
      <w:r>
        <w:rPr>
          <w:rFonts w:ascii="仿宋_GB2312" w:hAnsi="仿宋_GB2312" w:eastAsia="仿宋_GB2312"/>
          <w:b/>
          <w:sz w:val="32"/>
        </w:rPr>
        <w:t>与上年相比，</w:t>
      </w:r>
      <w:r>
        <w:rPr>
          <w:rFonts w:ascii="仿宋_GB2312" w:hAnsi="仿宋_GB2312" w:eastAsia="仿宋_GB2312"/>
          <w:b w:val="0"/>
          <w:sz w:val="32"/>
        </w:rPr>
        <w:t>减少28.77万元，下降3.00%，主要原因是：本年减少救护车采购款，相关支出减少。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年初预算数936.06万元，决算数930.25万元，预决算差异率-0.62%，主要原因是：严格落实中央八项规定精神，厉行节约，减少不必要的开支。</w:t>
      </w:r>
    </w:p>
    <w:p w14:paraId="01966D93">
      <w:pPr>
        <w:spacing w:line="640" w:lineRule="exact"/>
        <w:ind w:firstLine="640"/>
        <w:jc w:val="both"/>
        <w:outlineLvl w:val="3"/>
      </w:pPr>
      <w:r>
        <w:rPr>
          <w:rFonts w:ascii="楷体_GB2312" w:hAnsi="楷体_GB2312" w:eastAsia="楷体_GB2312"/>
          <w:b/>
          <w:sz w:val="32"/>
        </w:rPr>
        <w:t>（二）一般公共预算财政拨款支出决算结构情况</w:t>
      </w:r>
    </w:p>
    <w:p w14:paraId="067A0C27">
      <w:pPr>
        <w:spacing w:line="580" w:lineRule="exact"/>
        <w:ind w:firstLine="640"/>
        <w:jc w:val="both"/>
      </w:pPr>
      <w:r>
        <w:rPr>
          <w:rFonts w:ascii="仿宋_GB2312" w:hAnsi="仿宋_GB2312" w:eastAsia="仿宋_GB2312"/>
          <w:b w:val="0"/>
          <w:sz w:val="32"/>
        </w:rPr>
        <w:t>1.社会保障和就业支出(类)82.59万元</w:t>
      </w:r>
      <w:r>
        <w:rPr>
          <w:rFonts w:hint="eastAsia" w:ascii="仿宋_GB2312" w:hAnsi="仿宋_GB2312" w:eastAsia="仿宋_GB2312"/>
          <w:b w:val="0"/>
          <w:sz w:val="32"/>
          <w:lang w:eastAsia="zh-CN"/>
        </w:rPr>
        <w:t>，</w:t>
      </w:r>
      <w:r>
        <w:rPr>
          <w:rFonts w:ascii="仿宋_GB2312" w:hAnsi="仿宋_GB2312" w:eastAsia="仿宋_GB2312"/>
          <w:b w:val="0"/>
          <w:sz w:val="32"/>
        </w:rPr>
        <w:t>占8.88%。</w:t>
      </w:r>
    </w:p>
    <w:p w14:paraId="4A2BC3E9">
      <w:pPr>
        <w:spacing w:line="580" w:lineRule="exact"/>
        <w:ind w:firstLine="640"/>
        <w:jc w:val="both"/>
      </w:pPr>
      <w:r>
        <w:rPr>
          <w:rFonts w:ascii="仿宋_GB2312" w:hAnsi="仿宋_GB2312" w:eastAsia="仿宋_GB2312"/>
          <w:b w:val="0"/>
          <w:sz w:val="32"/>
        </w:rPr>
        <w:t>2.卫生健康支出(类)795.25万元</w:t>
      </w:r>
      <w:r>
        <w:rPr>
          <w:rFonts w:hint="eastAsia" w:ascii="仿宋_GB2312" w:hAnsi="仿宋_GB2312" w:eastAsia="仿宋_GB2312"/>
          <w:b w:val="0"/>
          <w:sz w:val="32"/>
          <w:lang w:eastAsia="zh-CN"/>
        </w:rPr>
        <w:t>，</w:t>
      </w:r>
      <w:r>
        <w:rPr>
          <w:rFonts w:ascii="仿宋_GB2312" w:hAnsi="仿宋_GB2312" w:eastAsia="仿宋_GB2312"/>
          <w:b w:val="0"/>
          <w:sz w:val="32"/>
        </w:rPr>
        <w:t>占85.49%。</w:t>
      </w:r>
    </w:p>
    <w:p w14:paraId="4546DE08">
      <w:pPr>
        <w:spacing w:line="580" w:lineRule="exact"/>
        <w:ind w:firstLine="640"/>
        <w:jc w:val="both"/>
      </w:pPr>
      <w:r>
        <w:rPr>
          <w:rFonts w:ascii="仿宋_GB2312" w:hAnsi="仿宋_GB2312" w:eastAsia="仿宋_GB2312"/>
          <w:b w:val="0"/>
          <w:sz w:val="32"/>
        </w:rPr>
        <w:t>3.住房保障支出(类)52.41万元</w:t>
      </w:r>
      <w:r>
        <w:rPr>
          <w:rFonts w:hint="eastAsia" w:ascii="仿宋_GB2312" w:hAnsi="仿宋_GB2312" w:eastAsia="仿宋_GB2312"/>
          <w:b w:val="0"/>
          <w:sz w:val="32"/>
          <w:lang w:eastAsia="zh-CN"/>
        </w:rPr>
        <w:t>，</w:t>
      </w:r>
      <w:r>
        <w:rPr>
          <w:rFonts w:ascii="仿宋_GB2312" w:hAnsi="仿宋_GB2312" w:eastAsia="仿宋_GB2312"/>
          <w:b w:val="0"/>
          <w:sz w:val="32"/>
        </w:rPr>
        <w:t>占5.63%。</w:t>
      </w:r>
    </w:p>
    <w:p w14:paraId="7D5BD8F5">
      <w:pPr>
        <w:spacing w:line="640" w:lineRule="exact"/>
        <w:ind w:firstLine="640"/>
        <w:jc w:val="both"/>
        <w:outlineLvl w:val="3"/>
      </w:pPr>
      <w:r>
        <w:rPr>
          <w:rFonts w:ascii="楷体_GB2312" w:hAnsi="楷体_GB2312" w:eastAsia="楷体_GB2312"/>
          <w:b/>
          <w:sz w:val="32"/>
        </w:rPr>
        <w:t>（三）一般公共预算财政拨款支出决算具体情况</w:t>
      </w:r>
    </w:p>
    <w:p w14:paraId="796E3B92">
      <w:pPr>
        <w:spacing w:line="580" w:lineRule="exact"/>
        <w:ind w:firstLine="640"/>
        <w:jc w:val="both"/>
      </w:pPr>
      <w:r>
        <w:rPr>
          <w:rFonts w:ascii="仿宋_GB2312" w:hAnsi="仿宋_GB2312" w:eastAsia="仿宋_GB2312"/>
          <w:b w:val="0"/>
          <w:sz w:val="32"/>
        </w:rPr>
        <w:t>1.社会保障和就业支出(类)行政事业单位养老支出(款)事业单位离退休(项)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支出决算数为9.61万元，比上年决算增加1.96万元，增长25.62%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主要原因是：本年退休人员增加，退休费支出增加。</w:t>
      </w:r>
    </w:p>
    <w:p w14:paraId="05C6A7A7">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支出决算数为64.17万元，比上年决算增加5.28万元，增长8.97%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主要原因是：本年在职人员工资基数调增，养老缴费基数上涨，相应支出增加。</w:t>
      </w:r>
    </w:p>
    <w:p w14:paraId="1D67E1F6">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支出决算数为8.44万元，比上年决算增加8.44万元，增长100.00%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主要原因是：本年新增退休人员，职业年金缴费支出增加。</w:t>
      </w:r>
    </w:p>
    <w:p w14:paraId="56212DFB">
      <w:pPr>
        <w:spacing w:line="580" w:lineRule="exact"/>
        <w:ind w:firstLine="640"/>
        <w:jc w:val="both"/>
      </w:pPr>
      <w:r>
        <w:rPr>
          <w:rFonts w:ascii="仿宋_GB2312" w:hAnsi="仿宋_GB2312" w:eastAsia="仿宋_GB2312"/>
          <w:b w:val="0"/>
          <w:sz w:val="32"/>
        </w:rPr>
        <w:t>4.社会保障和就业支出(类)抚恤(款)死亡抚恤(项)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支出决算数为0.00万元，比上年决算减少5.40万元，下降100.00%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主要原因是：本年无新增死亡人员，死亡抚恤支出较上年减少。</w:t>
      </w:r>
    </w:p>
    <w:p w14:paraId="7EBB6399">
      <w:pPr>
        <w:spacing w:line="580" w:lineRule="exact"/>
        <w:ind w:firstLine="640"/>
        <w:jc w:val="both"/>
      </w:pPr>
      <w:r>
        <w:rPr>
          <w:rFonts w:ascii="仿宋_GB2312" w:hAnsi="仿宋_GB2312" w:eastAsia="仿宋_GB2312"/>
          <w:b w:val="0"/>
          <w:sz w:val="32"/>
        </w:rPr>
        <w:t>5.社会保障和就业支出(类)社会福利(款)老年福利(项)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支出决算数为0.37万元，比上年决算增加0.37万元，增长100.00%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主要原因是：本年增加80岁以上高龄老人基本生活和免费体检项目(地方配套)项目经费，导致此科目经费增加。</w:t>
      </w:r>
    </w:p>
    <w:p w14:paraId="690ABBFF">
      <w:pPr>
        <w:spacing w:line="580" w:lineRule="exact"/>
        <w:ind w:firstLine="640"/>
        <w:jc w:val="both"/>
      </w:pPr>
      <w:r>
        <w:rPr>
          <w:rFonts w:ascii="仿宋_GB2312" w:hAnsi="仿宋_GB2312" w:eastAsia="仿宋_GB2312"/>
          <w:b w:val="0"/>
          <w:sz w:val="32"/>
        </w:rPr>
        <w:t>6.卫生健康支出(类)基层医疗卫生机构(款)乡镇卫生院(项)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支出决算数为528.74万元，比上年决算增加28.71万元，增长5.74%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主要原因是：本年在职人员工资调薪，工资等相关人员经费增加。</w:t>
      </w:r>
    </w:p>
    <w:p w14:paraId="6D09AB7F">
      <w:pPr>
        <w:spacing w:line="580" w:lineRule="exact"/>
        <w:ind w:firstLine="640"/>
        <w:jc w:val="both"/>
      </w:pPr>
      <w:r>
        <w:rPr>
          <w:rFonts w:ascii="仿宋_GB2312" w:hAnsi="仿宋_GB2312" w:eastAsia="仿宋_GB2312"/>
          <w:b w:val="0"/>
          <w:sz w:val="32"/>
        </w:rPr>
        <w:t>7.卫生健康支出(类)基层医疗卫生机构(款)其他基层医疗卫生机构支出(项)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支出决算数为25.49万元，比上年决算减少0.60万元，下降2.30%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主要原因是：本年减少国家基本药物制度补助项目经费。</w:t>
      </w:r>
    </w:p>
    <w:p w14:paraId="30F9F265">
      <w:pPr>
        <w:spacing w:line="580" w:lineRule="exact"/>
        <w:ind w:firstLine="640"/>
        <w:jc w:val="both"/>
      </w:pPr>
      <w:r>
        <w:rPr>
          <w:rFonts w:ascii="仿宋_GB2312" w:hAnsi="仿宋_GB2312" w:eastAsia="仿宋_GB2312"/>
          <w:b w:val="0"/>
          <w:sz w:val="32"/>
        </w:rPr>
        <w:t>8.卫生健康支出(类)公共卫生(款)基本公共卫生服务(项)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支出决算数为150.45万元，比上年决算减少13.99万元，下降8.51%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主要原因是：本年减少中央基本公共卫生服务资金项目经费。</w:t>
      </w:r>
    </w:p>
    <w:p w14:paraId="65C53A05">
      <w:pPr>
        <w:spacing w:line="580" w:lineRule="exact"/>
        <w:ind w:firstLine="640"/>
        <w:jc w:val="both"/>
      </w:pPr>
      <w:r>
        <w:rPr>
          <w:rFonts w:ascii="仿宋_GB2312" w:hAnsi="仿宋_GB2312" w:eastAsia="仿宋_GB2312"/>
          <w:b w:val="0"/>
          <w:sz w:val="32"/>
        </w:rPr>
        <w:t>9.卫生健康支出(类)公共卫生(款)突发公共卫生事件应急处理(项)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支出决算数为0.00万元，比上年决算减少37.80万元，下降100.00%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主要原因是：本年减少救护车采购款，经费减少。</w:t>
      </w:r>
    </w:p>
    <w:p w14:paraId="3D9EA0BA">
      <w:pPr>
        <w:spacing w:line="580" w:lineRule="exact"/>
        <w:ind w:firstLine="640"/>
        <w:jc w:val="both"/>
      </w:pPr>
      <w:r>
        <w:rPr>
          <w:rFonts w:ascii="仿宋_GB2312" w:hAnsi="仿宋_GB2312" w:eastAsia="仿宋_GB2312"/>
          <w:b w:val="0"/>
          <w:sz w:val="32"/>
        </w:rPr>
        <w:t>10.卫生健康支出(类)公共卫生(款)其他公共卫生支出(项)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支出决算数为69.60万元，比上年决算减少20.52万元，下降22.77%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主要原因是：本年体检项目经费较上年减少。</w:t>
      </w:r>
    </w:p>
    <w:p w14:paraId="30D2337A">
      <w:pPr>
        <w:spacing w:line="580" w:lineRule="exact"/>
        <w:ind w:firstLine="640"/>
        <w:jc w:val="both"/>
      </w:pPr>
      <w:r>
        <w:rPr>
          <w:rFonts w:ascii="仿宋_GB2312" w:hAnsi="仿宋_GB2312" w:eastAsia="仿宋_GB2312"/>
          <w:b w:val="0"/>
          <w:sz w:val="32"/>
        </w:rPr>
        <w:t>11.卫生健康支出(类)行政事业单位医疗(款)事业单位医疗(项)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支出决算数为20.97万元，比上年决算增加1.86万元，增长9.73%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14:paraId="33ACB89E">
      <w:pPr>
        <w:spacing w:line="580" w:lineRule="exact"/>
        <w:ind w:firstLine="640"/>
        <w:jc w:val="both"/>
      </w:pPr>
      <w:r>
        <w:rPr>
          <w:rFonts w:ascii="仿宋_GB2312" w:hAnsi="仿宋_GB2312" w:eastAsia="仿宋_GB2312"/>
          <w:b w:val="0"/>
          <w:sz w:val="32"/>
        </w:rPr>
        <w:t>12.住房保障支出(类)住房改革支出(款)住房公积金(项)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支出决算数为52.41万元，比上年决算增加2.92万元，增长5.90%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主要原因是：本年在职人员工资基数调增，公积金缴费基数上涨，相应支出增加。</w:t>
      </w:r>
    </w:p>
    <w:p w14:paraId="7D23F4DB">
      <w:pPr>
        <w:spacing w:line="640" w:lineRule="exact"/>
        <w:ind w:firstLine="640"/>
        <w:jc w:val="both"/>
        <w:outlineLvl w:val="2"/>
      </w:pPr>
      <w:r>
        <w:rPr>
          <w:rFonts w:ascii="黑体" w:hAnsi="黑体" w:eastAsia="黑体"/>
          <w:sz w:val="32"/>
        </w:rPr>
        <w:t>六、一般公共预算财政拨款基本支出决算情况说明</w:t>
      </w:r>
    </w:p>
    <w:p w14:paraId="395EF9C1">
      <w:pPr>
        <w:spacing w:line="580" w:lineRule="exact"/>
        <w:ind w:firstLine="640"/>
        <w:jc w:val="both"/>
      </w:pPr>
      <w:r>
        <w:rPr>
          <w:rFonts w:ascii="仿宋_GB2312" w:hAnsi="仿宋_GB2312" w:eastAsia="仿宋_GB2312"/>
          <w:b w:val="0"/>
          <w:sz w:val="32"/>
        </w:rPr>
        <w:t>2024年度一般公共预算财政拨款基本支出684.34万元，其中：</w:t>
      </w:r>
      <w:r>
        <w:rPr>
          <w:rFonts w:ascii="仿宋_GB2312" w:hAnsi="仿宋_GB2312" w:eastAsia="仿宋_GB2312"/>
          <w:b/>
          <w:sz w:val="32"/>
        </w:rPr>
        <w:t>人员经费684.34万元，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14:paraId="469AC3C0">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3A1823B2">
      <w:pPr>
        <w:spacing w:line="640" w:lineRule="exact"/>
        <w:ind w:firstLine="640"/>
        <w:jc w:val="both"/>
        <w:outlineLvl w:val="2"/>
      </w:pPr>
      <w:r>
        <w:rPr>
          <w:rFonts w:ascii="黑体" w:hAnsi="黑体" w:eastAsia="黑体"/>
          <w:sz w:val="32"/>
        </w:rPr>
        <w:t>七、政府性基金预算财政拨款收入支出决算情况说明</w:t>
      </w:r>
    </w:p>
    <w:p w14:paraId="08D9083F">
      <w:pPr>
        <w:spacing w:line="580" w:lineRule="exact"/>
        <w:ind w:firstLine="640"/>
        <w:jc w:val="both"/>
      </w:pPr>
      <w:r>
        <w:rPr>
          <w:rFonts w:ascii="仿宋_GB2312" w:hAnsi="仿宋_GB2312" w:eastAsia="仿宋_GB2312"/>
          <w:b/>
          <w:sz w:val="32"/>
        </w:rPr>
        <w:t>2024年度政府性基金预算财政拨款收入总计5.64万元，</w:t>
      </w:r>
      <w:r>
        <w:rPr>
          <w:rFonts w:ascii="仿宋_GB2312" w:hAnsi="仿宋_GB2312" w:eastAsia="仿宋_GB2312"/>
          <w:b w:val="0"/>
          <w:sz w:val="32"/>
        </w:rPr>
        <w:t>其中：年初结转和结余0.00万元，本年收入5.64万元。</w:t>
      </w:r>
      <w:r>
        <w:rPr>
          <w:rFonts w:ascii="仿宋_GB2312" w:hAnsi="仿宋_GB2312" w:eastAsia="仿宋_GB2312"/>
          <w:b/>
          <w:sz w:val="32"/>
        </w:rPr>
        <w:t>政府性基金预算财政拨款支出总计5.64万元，</w:t>
      </w:r>
      <w:r>
        <w:rPr>
          <w:rFonts w:ascii="仿宋_GB2312" w:hAnsi="仿宋_GB2312" w:eastAsia="仿宋_GB2312"/>
          <w:b w:val="0"/>
          <w:sz w:val="32"/>
        </w:rPr>
        <w:t>其中：年末结转和结余0.00万元，本年支出5.64万元。</w:t>
      </w:r>
    </w:p>
    <w:p w14:paraId="3428E9FF">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增加4.21万元，增长294.41%，主要原因是：本单位增加自治区彩票公益金资助80岁以上老年人基本生活津贴和免费体检项目、2024年中央专项彩票公益金支持地方社会公益事业发展资金（医疗救助）资金。</w:t>
      </w:r>
      <w:r>
        <w:rPr>
          <w:rFonts w:ascii="仿宋_GB2312" w:hAnsi="仿宋_GB2312" w:eastAsia="仿宋_GB2312"/>
          <w:b/>
          <w:sz w:val="32"/>
        </w:rPr>
        <w:t>与年初预算相比，</w:t>
      </w:r>
      <w:r>
        <w:rPr>
          <w:rFonts w:ascii="仿宋_GB2312" w:hAnsi="仿宋_GB2312" w:eastAsia="仿宋_GB2312"/>
          <w:b w:val="0"/>
          <w:sz w:val="32"/>
        </w:rPr>
        <w:t>年初预算数5.11万元，决算数5.64万元，预决算差异率10.37%，主要原因是：年中追加2024年中央专项彩票公益金支持地方社会公益事业发展资金（医疗救助）资金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2969FC09">
      <w:pPr>
        <w:spacing w:line="580" w:lineRule="exact"/>
        <w:ind w:firstLine="640"/>
        <w:jc w:val="both"/>
      </w:pPr>
      <w:r>
        <w:rPr>
          <w:rFonts w:ascii="仿宋_GB2312" w:hAnsi="仿宋_GB2312" w:eastAsia="仿宋_GB2312"/>
          <w:b w:val="0"/>
          <w:sz w:val="32"/>
        </w:rPr>
        <w:t>政府性基金预算财政拨款支出5.64万元。</w:t>
      </w:r>
    </w:p>
    <w:p w14:paraId="2623CC8B">
      <w:pPr>
        <w:spacing w:line="580" w:lineRule="exact"/>
        <w:ind w:firstLine="640"/>
        <w:jc w:val="both"/>
      </w:pPr>
      <w:r>
        <w:rPr>
          <w:rFonts w:ascii="仿宋_GB2312" w:hAnsi="仿宋_GB2312" w:eastAsia="仿宋_GB2312"/>
          <w:b w:val="0"/>
          <w:sz w:val="32"/>
        </w:rPr>
        <w:t>1.其他支出(类)彩票公益金安排的支出(款)用于社会福利的彩票公益金支出(项)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支出决算数为5.45万元，比上年决算增加4.02万元，增长281.12%</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主要原因是：本单位增加自治区彩票公益金资助80岁以上老年人基本生活津贴和免费体检项目。</w:t>
      </w:r>
    </w:p>
    <w:p w14:paraId="563D7F3E">
      <w:pPr>
        <w:spacing w:line="580" w:lineRule="exact"/>
        <w:ind w:firstLine="640"/>
        <w:jc w:val="both"/>
      </w:pPr>
      <w:r>
        <w:rPr>
          <w:rFonts w:ascii="仿宋_GB2312" w:hAnsi="仿宋_GB2312" w:eastAsia="仿宋_GB2312"/>
          <w:b w:val="0"/>
          <w:sz w:val="32"/>
        </w:rPr>
        <w:t>2.其他支出(类)彩票公益金安排的支出(款)用于城乡医疗救助的彩票公益金支出(项)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支出决算数为0.19万元，比上年决算增加0.19万元，增长100.00%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主要原因是：本单位增加2024年中央专项彩票公益金支持地方社会公益事业发展资金（医疗救助）资金。</w:t>
      </w:r>
    </w:p>
    <w:p w14:paraId="45C02301">
      <w:pPr>
        <w:spacing w:line="640" w:lineRule="exact"/>
        <w:ind w:firstLine="640"/>
        <w:jc w:val="both"/>
        <w:outlineLvl w:val="2"/>
      </w:pPr>
      <w:r>
        <w:rPr>
          <w:rFonts w:ascii="黑体" w:hAnsi="黑体" w:eastAsia="黑体"/>
          <w:sz w:val="32"/>
        </w:rPr>
        <w:t>八、国有资本经营预算财政拨款收入支出决算情况说明</w:t>
      </w:r>
    </w:p>
    <w:p w14:paraId="553400E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AC4A903">
      <w:pPr>
        <w:spacing w:line="640" w:lineRule="exact"/>
        <w:ind w:firstLine="640"/>
        <w:jc w:val="both"/>
        <w:outlineLvl w:val="2"/>
      </w:pPr>
      <w:r>
        <w:rPr>
          <w:rFonts w:ascii="黑体" w:hAnsi="黑体" w:eastAsia="黑体"/>
          <w:sz w:val="32"/>
        </w:rPr>
        <w:t>九、财政拨款“三公”经费支出决算情况说明</w:t>
      </w:r>
    </w:p>
    <w:p w14:paraId="706F945E">
      <w:pPr>
        <w:spacing w:line="580" w:lineRule="exact"/>
        <w:ind w:firstLine="640"/>
        <w:jc w:val="both"/>
      </w:pPr>
      <w:r>
        <w:rPr>
          <w:rFonts w:ascii="仿宋_GB2312" w:hAnsi="仿宋_GB2312" w:eastAsia="仿宋_GB2312"/>
          <w:b/>
          <w:sz w:val="32"/>
        </w:rPr>
        <w:t>2024年度财政拨款“三公”经费支出5.37万元，</w:t>
      </w:r>
      <w:r>
        <w:rPr>
          <w:rFonts w:ascii="仿宋_GB2312" w:hAnsi="仿宋_GB2312" w:eastAsia="仿宋_GB2312"/>
          <w:b w:val="0"/>
          <w:sz w:val="32"/>
        </w:rPr>
        <w:t>比上年减少26.68万元，下降83.24%，主要原因是：本年减少救护车</w:t>
      </w:r>
      <w:r>
        <w:rPr>
          <w:rFonts w:hint="eastAsia" w:ascii="仿宋_GB2312" w:hAnsi="仿宋_GB2312" w:eastAsia="仿宋_GB2312"/>
          <w:b w:val="0"/>
          <w:sz w:val="32"/>
          <w:lang w:val="en-US" w:eastAsia="zh-CN"/>
        </w:rPr>
        <w:t>购置费，相关经费支出减少</w:t>
      </w:r>
      <w:r>
        <w:rPr>
          <w:rFonts w:ascii="仿宋_GB2312" w:hAnsi="仿宋_GB2312" w:eastAsia="仿宋_GB2312"/>
          <w:b w:val="0"/>
          <w:sz w:val="32"/>
        </w:rPr>
        <w:t>。其中：因公出国（境）费支出0.00万元，占0.00%，比上年增加0.00万元，增长0.00%，主要原因是：2023年与2024年均未安排因公出国（境）费支出。公务用车购置及运行维护费支出5.37万元，占100.00%，比上年减少26.68万元，下降83.24%，主要原因是：本年减少救护车</w:t>
      </w:r>
      <w:r>
        <w:rPr>
          <w:rFonts w:hint="eastAsia" w:ascii="仿宋_GB2312" w:hAnsi="仿宋_GB2312" w:eastAsia="仿宋_GB2312"/>
          <w:b w:val="0"/>
          <w:sz w:val="32"/>
          <w:lang w:val="en-US" w:eastAsia="zh-CN"/>
        </w:rPr>
        <w:t>购置费，相关经费支出减少</w:t>
      </w:r>
      <w:r>
        <w:rPr>
          <w:rFonts w:ascii="仿宋_GB2312" w:hAnsi="仿宋_GB2312" w:eastAsia="仿宋_GB2312"/>
          <w:b w:val="0"/>
          <w:sz w:val="32"/>
        </w:rPr>
        <w:t>。公务接待费支出0.00万元，占0.00%，比上年增加0.00万元，增长0.00%，主要原因是：2023年与2024年均未安排公务接待费支出。</w:t>
      </w:r>
    </w:p>
    <w:p w14:paraId="0DA7D7AB">
      <w:pPr>
        <w:spacing w:line="580" w:lineRule="exact"/>
        <w:ind w:firstLine="640"/>
        <w:jc w:val="both"/>
      </w:pPr>
      <w:r>
        <w:rPr>
          <w:rFonts w:ascii="仿宋_GB2312" w:hAnsi="仿宋_GB2312" w:eastAsia="仿宋_GB2312"/>
          <w:b/>
          <w:sz w:val="32"/>
        </w:rPr>
        <w:t>具体情况如下：</w:t>
      </w:r>
    </w:p>
    <w:p w14:paraId="4CF4AA5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E777B41">
      <w:pPr>
        <w:spacing w:line="580" w:lineRule="exact"/>
        <w:ind w:firstLine="640"/>
        <w:jc w:val="both"/>
      </w:pPr>
      <w:r>
        <w:rPr>
          <w:rFonts w:ascii="仿宋_GB2312" w:hAnsi="仿宋_GB2312" w:eastAsia="仿宋_GB2312"/>
          <w:b w:val="0"/>
          <w:sz w:val="32"/>
        </w:rPr>
        <w:t>公务用车购置及运行维护费5.37万元，其中：公务用车购置费0.00万元，公务用车运行维护费5.37万元。公务用车运行维护费开支内容包括车辆加油费、保险费、过路费、维修费。公务用车购置数0辆，公务用车保有量2辆。国有资产占用情况中固定资产车辆2辆，与公务用车保有量差异原因是：本单位固定资产车辆与公务用车保有量一致无差异。</w:t>
      </w:r>
    </w:p>
    <w:p w14:paraId="3E194E6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18C3DB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5.37万元，决算数5.37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5.37万元，决算数5.37万元，预决算差异率0.00%，主要原因是：严格按照预算执行，预决算无差异。公务接待费全年预算数0.00万元，决算数0.00万元，预决算差异率0.00%，主要原因是：本单位无公务接待费。</w:t>
      </w:r>
    </w:p>
    <w:p w14:paraId="00534C9C">
      <w:pPr>
        <w:spacing w:line="640" w:lineRule="exact"/>
        <w:ind w:firstLine="640"/>
        <w:jc w:val="both"/>
        <w:outlineLvl w:val="2"/>
      </w:pPr>
      <w:r>
        <w:rPr>
          <w:rFonts w:ascii="黑体" w:hAnsi="黑体" w:eastAsia="黑体"/>
          <w:sz w:val="32"/>
        </w:rPr>
        <w:t>十、其他重要事项的情况说明</w:t>
      </w:r>
    </w:p>
    <w:p w14:paraId="061EA134">
      <w:pPr>
        <w:spacing w:line="640" w:lineRule="exact"/>
        <w:ind w:firstLine="640"/>
        <w:jc w:val="both"/>
        <w:outlineLvl w:val="3"/>
      </w:pPr>
      <w:r>
        <w:rPr>
          <w:rFonts w:ascii="楷体_GB2312" w:hAnsi="楷体_GB2312" w:eastAsia="楷体_GB2312"/>
          <w:b/>
          <w:sz w:val="32"/>
        </w:rPr>
        <w:t>（一）机关运行经费及公用经费支出情况</w:t>
      </w:r>
    </w:p>
    <w:p w14:paraId="113862DC">
      <w:pPr>
        <w:spacing w:line="580" w:lineRule="exact"/>
        <w:ind w:firstLine="640"/>
        <w:jc w:val="both"/>
      </w:pPr>
      <w:r>
        <w:rPr>
          <w:rFonts w:ascii="仿宋_GB2312" w:hAnsi="仿宋_GB2312" w:eastAsia="仿宋_GB2312"/>
          <w:b w:val="0"/>
          <w:sz w:val="32"/>
        </w:rPr>
        <w:t>2024年度阿图什市格达良乡卫生院（事业单位）公用经费支出0.00万元，比上年增加0.00万元，增长0.00%，主要原因是：2023年与2024年均未安排公用经费支出。</w:t>
      </w:r>
    </w:p>
    <w:p w14:paraId="62AA7288">
      <w:pPr>
        <w:spacing w:line="640" w:lineRule="exact"/>
        <w:ind w:firstLine="640"/>
        <w:jc w:val="both"/>
        <w:outlineLvl w:val="3"/>
      </w:pPr>
      <w:r>
        <w:rPr>
          <w:rFonts w:ascii="楷体_GB2312" w:hAnsi="楷体_GB2312" w:eastAsia="楷体_GB2312"/>
          <w:b/>
          <w:sz w:val="32"/>
        </w:rPr>
        <w:t>（二）政府采购情况</w:t>
      </w:r>
    </w:p>
    <w:p w14:paraId="2FA9D3C8">
      <w:pPr>
        <w:spacing w:line="580" w:lineRule="exact"/>
        <w:ind w:firstLine="640"/>
        <w:jc w:val="both"/>
      </w:pPr>
      <w:r>
        <w:rPr>
          <w:rFonts w:ascii="仿宋_GB2312" w:hAnsi="仿宋_GB2312" w:eastAsia="仿宋_GB2312"/>
          <w:b w:val="0"/>
          <w:sz w:val="32"/>
        </w:rPr>
        <w:t>2024年度政府采购支出总额137.36万元，其中：政府采购货物支出91.92万元、政府采购工程支出5.74万元、政府采购服务支出39.70万元。</w:t>
      </w:r>
    </w:p>
    <w:p w14:paraId="1C14F353">
      <w:pPr>
        <w:spacing w:line="580" w:lineRule="exact"/>
        <w:ind w:firstLine="640"/>
        <w:jc w:val="both"/>
      </w:pPr>
      <w:r>
        <w:rPr>
          <w:rFonts w:ascii="仿宋_GB2312" w:hAnsi="仿宋_GB2312" w:eastAsia="仿宋_GB2312"/>
          <w:b w:val="0"/>
          <w:sz w:val="32"/>
        </w:rPr>
        <w:t>授予中小企业合同金额126.50万元，占政府采购支出总额的92.09%，其中：授予小微企业合同金额116.54万元，占政府采购支出总额的84.84%。</w:t>
      </w:r>
    </w:p>
    <w:p w14:paraId="10D230EB">
      <w:pPr>
        <w:spacing w:line="640" w:lineRule="exact"/>
        <w:ind w:firstLine="640"/>
        <w:jc w:val="both"/>
        <w:outlineLvl w:val="3"/>
      </w:pPr>
      <w:r>
        <w:rPr>
          <w:rFonts w:ascii="楷体_GB2312" w:hAnsi="楷体_GB2312" w:eastAsia="楷体_GB2312"/>
          <w:b/>
          <w:sz w:val="32"/>
        </w:rPr>
        <w:t>（三）国有资产占用情况说明</w:t>
      </w:r>
    </w:p>
    <w:p w14:paraId="74DCF00E">
      <w:pPr>
        <w:spacing w:line="580" w:lineRule="exact"/>
        <w:ind w:firstLine="640"/>
        <w:jc w:val="both"/>
      </w:pPr>
      <w:r>
        <w:rPr>
          <w:rFonts w:ascii="仿宋_GB2312" w:hAnsi="仿宋_GB2312" w:eastAsia="仿宋_GB2312"/>
          <w:b w:val="0"/>
          <w:sz w:val="32"/>
        </w:rPr>
        <w:t>截至2024年12月31日，房屋1,211.61平方米，价值67.53万元。车辆2辆，价值52.83万元，其中：副部（省）级及以上领导用车0辆、主要负责人用车0辆、机要通信用车0辆、应急保障用车0辆、执法执勤用车0辆、特种专业技术用车0辆、离退休干部服务用车0辆、其他用车2辆，其他用车主要是：单位救护车。单价100万元（含）以上设备（不含车辆）0台（套）。</w:t>
      </w:r>
    </w:p>
    <w:p w14:paraId="60D0AE1B">
      <w:pPr>
        <w:spacing w:line="640" w:lineRule="exact"/>
        <w:ind w:firstLine="640"/>
        <w:jc w:val="both"/>
        <w:outlineLvl w:val="2"/>
      </w:pPr>
      <w:r>
        <w:rPr>
          <w:rFonts w:ascii="黑体" w:hAnsi="黑体" w:eastAsia="黑体"/>
          <w:sz w:val="32"/>
        </w:rPr>
        <w:t>十一、预算绩效的情况说明</w:t>
      </w:r>
    </w:p>
    <w:p w14:paraId="0F38ED7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1,210.93万元，实际执行总额1,204.79万元；预算绩效评价项目0个，全年预算数0.00万元，全年执行数0.00万元。预算绩效管理取得的成效：本单位无绩效自评项目。发现的问题及原因：本单位无绩效自评项目。下一步改进措施：本单位无绩效自评项目。具体附整体支出绩效自评表。</w:t>
      </w:r>
    </w:p>
    <w:p w14:paraId="06B36358">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B0D10BE">
        <w:tblPrEx>
          <w:tblCellMar>
            <w:top w:w="0" w:type="dxa"/>
            <w:left w:w="108" w:type="dxa"/>
            <w:bottom w:w="0" w:type="dxa"/>
            <w:right w:w="108" w:type="dxa"/>
          </w:tblCellMar>
        </w:tblPrEx>
        <w:tc>
          <w:tcPr>
            <w:tcW w:w="8840" w:type="dxa"/>
            <w:gridSpan w:val="8"/>
            <w:vAlign w:val="center"/>
          </w:tcPr>
          <w:p w14:paraId="17B8B7BB">
            <w:pPr>
              <w:jc w:val="center"/>
            </w:pPr>
            <w:r>
              <w:rPr>
                <w:rFonts w:ascii="宋体" w:hAnsi="宋体" w:eastAsia="宋体"/>
                <w:sz w:val="24"/>
              </w:rPr>
              <w:t>单位整体支出绩效自评表</w:t>
            </w:r>
          </w:p>
        </w:tc>
      </w:tr>
      <w:tr w14:paraId="0135A64D">
        <w:tblPrEx>
          <w:tblCellMar>
            <w:top w:w="0" w:type="dxa"/>
            <w:left w:w="108" w:type="dxa"/>
            <w:bottom w:w="0" w:type="dxa"/>
            <w:right w:w="108" w:type="dxa"/>
          </w:tblCellMar>
        </w:tblPrEx>
        <w:tc>
          <w:tcPr>
            <w:tcW w:w="8840" w:type="dxa"/>
            <w:gridSpan w:val="8"/>
            <w:vAlign w:val="center"/>
          </w:tcPr>
          <w:p w14:paraId="30C9AC6B">
            <w:pPr>
              <w:jc w:val="center"/>
            </w:pPr>
            <w:r>
              <w:rPr>
                <w:rFonts w:ascii="宋体" w:hAnsi="宋体" w:eastAsia="宋体"/>
                <w:sz w:val="24"/>
              </w:rPr>
              <w:t>（2024年度）</w:t>
            </w:r>
          </w:p>
        </w:tc>
      </w:tr>
      <w:tr w14:paraId="0C10C12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2680AB">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854B0E">
            <w:pPr>
              <w:jc w:val="center"/>
            </w:pPr>
            <w:r>
              <w:rPr>
                <w:rFonts w:ascii="宋体" w:hAnsi="宋体" w:eastAsia="宋体"/>
                <w:sz w:val="16"/>
              </w:rPr>
              <w:t>阿图什市格达良乡卫生院</w:t>
            </w:r>
          </w:p>
        </w:tc>
      </w:tr>
      <w:tr w14:paraId="197EEDF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0B647F">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6BC415">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3755C4">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4EC1A9">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862FF5">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CFE95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7CFC0A">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360B3E">
            <w:pPr>
              <w:jc w:val="center"/>
            </w:pPr>
            <w:r>
              <w:rPr>
                <w:rFonts w:ascii="宋体" w:hAnsi="宋体" w:eastAsia="宋体"/>
                <w:sz w:val="16"/>
              </w:rPr>
              <w:t>得分</w:t>
            </w:r>
          </w:p>
        </w:tc>
      </w:tr>
      <w:tr w14:paraId="782F6C2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C0C50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BC461B">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842493">
            <w:pPr>
              <w:jc w:val="center"/>
            </w:pPr>
            <w:r>
              <w:rPr>
                <w:rFonts w:ascii="宋体" w:hAnsi="宋体" w:eastAsia="宋体"/>
                <w:sz w:val="16"/>
              </w:rPr>
              <w:t>918.69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C09501">
            <w:pPr>
              <w:jc w:val="center"/>
            </w:pPr>
            <w:r>
              <w:rPr>
                <w:rFonts w:ascii="宋体" w:hAnsi="宋体" w:eastAsia="宋体"/>
                <w:sz w:val="16"/>
              </w:rPr>
              <w:t>1,210.93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279851">
            <w:pPr>
              <w:jc w:val="center"/>
            </w:pPr>
            <w:r>
              <w:rPr>
                <w:rFonts w:ascii="宋体" w:hAnsi="宋体" w:eastAsia="宋体"/>
                <w:sz w:val="16"/>
              </w:rPr>
              <w:t>1,204.79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05931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A13B0F">
            <w:pPr>
              <w:jc w:val="center"/>
            </w:pPr>
            <w:r>
              <w:rPr>
                <w:rFonts w:ascii="宋体" w:hAnsi="宋体" w:eastAsia="宋体"/>
                <w:sz w:val="16"/>
              </w:rPr>
              <w:t>99.49%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9675F6">
            <w:pPr>
              <w:jc w:val="center"/>
              <w:rPr>
                <w:rFonts w:hint="default" w:eastAsia="宋体"/>
                <w:lang w:val="en-US" w:eastAsia="zh-CN"/>
              </w:rPr>
            </w:pPr>
            <w:r>
              <w:rPr>
                <w:rFonts w:ascii="宋体" w:hAnsi="宋体" w:eastAsia="宋体"/>
                <w:sz w:val="16"/>
              </w:rPr>
              <w:t>9</w:t>
            </w:r>
            <w:r>
              <w:rPr>
                <w:rFonts w:hint="eastAsia" w:ascii="宋体" w:hAnsi="宋体"/>
                <w:sz w:val="16"/>
                <w:lang w:val="en-US" w:eastAsia="zh-CN"/>
              </w:rPr>
              <w:t>.95</w:t>
            </w:r>
          </w:p>
        </w:tc>
      </w:tr>
      <w:tr w14:paraId="0DF2FDC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074B4B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36FF99">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267B4A">
            <w:pPr>
              <w:jc w:val="center"/>
            </w:pPr>
            <w:r>
              <w:rPr>
                <w:rFonts w:ascii="宋体" w:hAnsi="宋体" w:eastAsia="宋体"/>
                <w:sz w:val="16"/>
              </w:rPr>
              <w:t>260.67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C7EAF0">
            <w:pPr>
              <w:jc w:val="center"/>
            </w:pPr>
            <w:r>
              <w:rPr>
                <w:rFonts w:ascii="宋体" w:hAnsi="宋体" w:eastAsia="宋体"/>
                <w:sz w:val="16"/>
              </w:rPr>
              <w:t>251.18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BF6042">
            <w:pPr>
              <w:jc w:val="center"/>
            </w:pPr>
            <w:r>
              <w:rPr>
                <w:rFonts w:ascii="宋体" w:hAnsi="宋体" w:eastAsia="宋体"/>
                <w:sz w:val="16"/>
              </w:rPr>
              <w:t>251.18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69779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ADA31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3BA7A6">
            <w:pPr>
              <w:jc w:val="center"/>
            </w:pPr>
            <w:r>
              <w:rPr>
                <w:rFonts w:ascii="宋体" w:hAnsi="宋体" w:eastAsia="宋体"/>
                <w:sz w:val="16"/>
              </w:rPr>
              <w:t>—</w:t>
            </w:r>
          </w:p>
        </w:tc>
      </w:tr>
      <w:tr w14:paraId="6B3C047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C437C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19ABC7">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8041E7">
            <w:pPr>
              <w:jc w:val="center"/>
            </w:pPr>
            <w:r>
              <w:rPr>
                <w:rFonts w:ascii="宋体" w:hAnsi="宋体" w:eastAsia="宋体"/>
                <w:sz w:val="16"/>
              </w:rPr>
              <w:t>658.02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0CBE39">
            <w:pPr>
              <w:jc w:val="center"/>
            </w:pPr>
            <w:r>
              <w:rPr>
                <w:rFonts w:ascii="宋体" w:hAnsi="宋体" w:eastAsia="宋体"/>
                <w:sz w:val="16"/>
              </w:rPr>
              <w:t>959.75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03765A">
            <w:pPr>
              <w:jc w:val="center"/>
            </w:pPr>
            <w:r>
              <w:rPr>
                <w:rFonts w:ascii="宋体" w:hAnsi="宋体" w:eastAsia="宋体"/>
                <w:sz w:val="16"/>
              </w:rPr>
              <w:t>953.61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B625E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03C17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578612">
            <w:pPr>
              <w:jc w:val="center"/>
            </w:pPr>
            <w:r>
              <w:rPr>
                <w:rFonts w:ascii="宋体" w:hAnsi="宋体" w:eastAsia="宋体"/>
                <w:sz w:val="16"/>
              </w:rPr>
              <w:t>—</w:t>
            </w:r>
          </w:p>
        </w:tc>
      </w:tr>
      <w:tr w14:paraId="770C34A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E6D9B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2FA19A">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2EFF9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B076A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07298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0DBC4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B6A22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E47A7B">
            <w:pPr>
              <w:jc w:val="center"/>
            </w:pPr>
            <w:r>
              <w:rPr>
                <w:rFonts w:ascii="宋体" w:hAnsi="宋体" w:eastAsia="宋体"/>
                <w:sz w:val="16"/>
              </w:rPr>
              <w:t>—</w:t>
            </w:r>
          </w:p>
        </w:tc>
      </w:tr>
      <w:tr w14:paraId="2CA030A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1BC3E1">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D1C3AA7">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1E19046">
            <w:pPr>
              <w:jc w:val="center"/>
            </w:pPr>
            <w:r>
              <w:rPr>
                <w:rFonts w:ascii="宋体" w:hAnsi="宋体" w:eastAsia="宋体"/>
                <w:sz w:val="16"/>
              </w:rPr>
              <w:t>实际完成情况</w:t>
            </w:r>
          </w:p>
        </w:tc>
      </w:tr>
      <w:tr w14:paraId="5959F00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05E559"/>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9AC7EE5">
            <w:pPr>
              <w:jc w:val="both"/>
            </w:pPr>
            <w:r>
              <w:rPr>
                <w:rFonts w:ascii="宋体" w:hAnsi="宋体" w:eastAsia="宋体"/>
                <w:sz w:val="16"/>
              </w:rPr>
              <w:t>单位基本职能：一、基本医疗服务</w:t>
            </w:r>
            <w:r>
              <w:rPr>
                <w:rFonts w:hint="eastAsia" w:ascii="宋体" w:hAnsi="宋体"/>
                <w:sz w:val="16"/>
                <w:lang w:eastAsia="zh-CN"/>
              </w:rPr>
              <w:t>：</w:t>
            </w:r>
            <w:r>
              <w:rPr>
                <w:rFonts w:ascii="宋体" w:hAnsi="宋体" w:eastAsia="宋体"/>
                <w:sz w:val="16"/>
              </w:rPr>
              <w:t>1、正确处理常见病、多发病，对疑难重症进行恰当的处理并转诊。承担乡村现场应急救护、转诊服务和康复服务。2、卫生院具备能完成外科的止血、缝合、包扎，骨折固定等处置。3、执行国家基本药物制度药品集中采购，零差率销售等政策，为实施一体化管理的村卫生室统一代购药品。4、提供政府卫生行政部门批准的其他适宜的医疗服务。二、公共卫生服务</w:t>
            </w:r>
            <w:r>
              <w:rPr>
                <w:rFonts w:hint="eastAsia" w:ascii="宋体" w:hAnsi="宋体"/>
                <w:sz w:val="16"/>
                <w:lang w:eastAsia="zh-CN"/>
              </w:rPr>
              <w:t>：</w:t>
            </w:r>
            <w:r>
              <w:rPr>
                <w:rFonts w:ascii="宋体" w:hAnsi="宋体" w:eastAsia="宋体"/>
                <w:sz w:val="16"/>
              </w:rPr>
              <w:t xml:space="preserve">1、做好卫生行政部门规定的其他公共卫生服务。2、负责辖区内突发公共卫生事件的报告并协助处理。3、对辖区重性精神疾病患者进行登记管理，治疗随访和康复指导。4、对高血压、糖尿病等慢性病高危人群进行指导，对确诊高血压、糖尿病等慢性病病例进行登记管理，定期随访和健康指导。5、普及卫生保健常识，帮助居民形成有利于维护和增进健康的行为方式。 </w:t>
            </w:r>
            <w:r>
              <w:rPr>
                <w:rFonts w:ascii="宋体" w:hAnsi="宋体" w:eastAsia="宋体"/>
                <w:sz w:val="16"/>
              </w:rPr>
              <w:br w:type="textWrapping"/>
            </w:r>
            <w:r>
              <w:rPr>
                <w:rFonts w:ascii="宋体" w:hAnsi="宋体" w:eastAsia="宋体"/>
                <w:sz w:val="16"/>
              </w:rPr>
              <w:t>机构设置及人员配置：无下属预算单位，下设5个科室，编制数39，实有人数50人，在职42人，退休8人。中长期规划：</w:t>
            </w:r>
            <w:r>
              <w:rPr>
                <w:rFonts w:hint="eastAsia" w:ascii="宋体" w:hAnsi="宋体"/>
                <w:sz w:val="16"/>
                <w:lang w:eastAsia="zh-CN"/>
              </w:rPr>
              <w:t>全面</w:t>
            </w:r>
            <w:r>
              <w:rPr>
                <w:rFonts w:ascii="宋体" w:hAnsi="宋体" w:eastAsia="宋体"/>
                <w:sz w:val="16"/>
              </w:rPr>
              <w:t xml:space="preserve">加强党对医疗卫生工作的全面领导，进一步规范化建设医疗质量管理体系，健全院科两级目标责任制。 </w:t>
            </w:r>
            <w:r>
              <w:rPr>
                <w:rFonts w:ascii="宋体" w:hAnsi="宋体" w:eastAsia="宋体"/>
                <w:sz w:val="16"/>
              </w:rPr>
              <w:br w:type="textWrapping"/>
            </w:r>
            <w:r>
              <w:rPr>
                <w:rFonts w:ascii="宋体" w:hAnsi="宋体" w:eastAsia="宋体"/>
                <w:sz w:val="16"/>
              </w:rPr>
              <w:t>保障单位在职39人，退休7人的工资福利及各项补助正常发放及部门正常运转；保障单位顺利检查指导学习各级各类医疗工作，对全市组织医疗卫生培训，提高医疗技术能力，提高医护人员幸福感、归属感，积极推进卫生院文化建设，培养医护人员全面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9614B9E">
            <w:pPr>
              <w:jc w:val="both"/>
            </w:pPr>
            <w:r>
              <w:rPr>
                <w:rFonts w:ascii="宋体" w:hAnsi="宋体" w:eastAsia="宋体"/>
                <w:sz w:val="16"/>
              </w:rPr>
              <w:t xml:space="preserve">本单位共计支出1204.79万元，用于保障部门在职42人，退休8人的工资福利、各项补助正常发放及部门单位正常运转，单位预算项目根据年初计划均已完成，保障单位顺利指导学习各级各类医疗工作，对全市开展医疗卫生培训工作，提高医疗技术能力，提高医护人员幸福感、归属感，积极开展卫生院文化建设，培养医护人员全面发展，年度任务中完成孕期保健服务和2次产后访视5次，中医药知识开展健康教育4次等目标。 </w:t>
            </w:r>
            <w:r>
              <w:rPr>
                <w:rFonts w:ascii="宋体" w:hAnsi="宋体" w:eastAsia="宋体"/>
                <w:sz w:val="16"/>
              </w:rPr>
              <w:br w:type="textWrapping"/>
            </w:r>
          </w:p>
        </w:tc>
      </w:tr>
      <w:tr w14:paraId="60D91B3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628D20">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25E087">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A1AA6B">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E2C285">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EF73D6">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96FD3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0A08A1">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A47319">
            <w:pPr>
              <w:jc w:val="center"/>
            </w:pPr>
            <w:r>
              <w:rPr>
                <w:rFonts w:ascii="宋体" w:hAnsi="宋体" w:eastAsia="宋体"/>
                <w:sz w:val="16"/>
              </w:rPr>
              <w:t>得分</w:t>
            </w:r>
          </w:p>
        </w:tc>
      </w:tr>
      <w:tr w14:paraId="2F3BA05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E53ACA">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167E1F">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D816D5">
            <w:pPr>
              <w:jc w:val="center"/>
            </w:pPr>
            <w:r>
              <w:rPr>
                <w:rFonts w:ascii="宋体" w:hAnsi="宋体" w:eastAsia="宋体"/>
                <w:sz w:val="16"/>
              </w:rPr>
              <w:t>基本公共卫生服务工作覆盖率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EF780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412B2F">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072FF5">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006EE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6AEE20">
            <w:pPr>
              <w:jc w:val="center"/>
            </w:pPr>
            <w:r>
              <w:rPr>
                <w:rFonts w:ascii="宋体" w:hAnsi="宋体" w:eastAsia="宋体"/>
                <w:sz w:val="16"/>
              </w:rPr>
              <w:t>18</w:t>
            </w:r>
          </w:p>
        </w:tc>
      </w:tr>
      <w:tr w14:paraId="3927FB8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3D426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461EF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D1EFDC">
            <w:pPr>
              <w:jc w:val="center"/>
            </w:pPr>
            <w:r>
              <w:rPr>
                <w:rFonts w:ascii="宋体" w:hAnsi="宋体" w:eastAsia="宋体"/>
                <w:sz w:val="16"/>
              </w:rPr>
              <w:t>群众疫苗服务工作覆盖率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4ABDD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F424CE">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27C1FD">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5A436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C3A763">
            <w:pPr>
              <w:jc w:val="center"/>
            </w:pPr>
            <w:r>
              <w:rPr>
                <w:rFonts w:ascii="宋体" w:hAnsi="宋体" w:eastAsia="宋体"/>
                <w:sz w:val="16"/>
              </w:rPr>
              <w:t>18</w:t>
            </w:r>
          </w:p>
        </w:tc>
      </w:tr>
      <w:tr w14:paraId="42E2713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A62624"/>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C92C8D">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D36E20">
            <w:pPr>
              <w:jc w:val="center"/>
            </w:pPr>
            <w:r>
              <w:rPr>
                <w:rFonts w:ascii="宋体" w:hAnsi="宋体" w:eastAsia="宋体"/>
                <w:sz w:val="16"/>
              </w:rPr>
              <w:t>孕期保健服务和2次产后访视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3C6C1B">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2F4A84">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3B52E9">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EC0379">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551E92">
            <w:pPr>
              <w:jc w:val="center"/>
            </w:pPr>
            <w:r>
              <w:rPr>
                <w:rFonts w:ascii="宋体" w:hAnsi="宋体" w:eastAsia="宋体"/>
                <w:sz w:val="16"/>
              </w:rPr>
              <w:t>18</w:t>
            </w:r>
          </w:p>
        </w:tc>
      </w:tr>
      <w:tr w14:paraId="7C4DFFC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FE194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775CB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0EA69C">
            <w:pPr>
              <w:jc w:val="center"/>
            </w:pPr>
            <w:r>
              <w:rPr>
                <w:rFonts w:ascii="宋体" w:hAnsi="宋体" w:eastAsia="宋体"/>
                <w:sz w:val="16"/>
              </w:rPr>
              <w:t>中医药知识开展健康教育</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D60DA2">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B6BD45">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A79F3F">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506685">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232829">
            <w:pPr>
              <w:jc w:val="center"/>
            </w:pPr>
            <w:r>
              <w:rPr>
                <w:rFonts w:ascii="宋体" w:hAnsi="宋体" w:eastAsia="宋体"/>
                <w:sz w:val="16"/>
              </w:rPr>
              <w:t>18</w:t>
            </w:r>
          </w:p>
        </w:tc>
      </w:tr>
      <w:tr w14:paraId="0B233AE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00FB2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2FF7F0">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9F5B5A">
            <w:pPr>
              <w:jc w:val="center"/>
            </w:pPr>
            <w:r>
              <w:rPr>
                <w:rFonts w:ascii="宋体" w:hAnsi="宋体" w:eastAsia="宋体"/>
                <w:sz w:val="16"/>
              </w:rPr>
              <w:t>群众医疗与保健工作完成及时性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8DE19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CB169E">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8C901E">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30970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D47756">
            <w:pPr>
              <w:jc w:val="center"/>
            </w:pPr>
            <w:r>
              <w:rPr>
                <w:rFonts w:ascii="宋体" w:hAnsi="宋体" w:eastAsia="宋体"/>
                <w:sz w:val="16"/>
              </w:rPr>
              <w:t>18</w:t>
            </w:r>
          </w:p>
        </w:tc>
      </w:tr>
    </w:tbl>
    <w:p w14:paraId="34D4E051">
      <w:r>
        <w:br w:type="page"/>
      </w:r>
    </w:p>
    <w:p w14:paraId="4EB443EF">
      <w:pPr>
        <w:spacing w:line="640" w:lineRule="exact"/>
        <w:ind w:firstLine="640"/>
        <w:jc w:val="both"/>
        <w:outlineLvl w:val="2"/>
      </w:pPr>
      <w:r>
        <w:rPr>
          <w:rFonts w:ascii="黑体" w:hAnsi="黑体" w:eastAsia="黑体"/>
          <w:sz w:val="32"/>
        </w:rPr>
        <w:t>十二、其他需说明的事项</w:t>
      </w:r>
    </w:p>
    <w:p w14:paraId="3E5FBC23">
      <w:pPr>
        <w:spacing w:line="580" w:lineRule="exact"/>
        <w:ind w:firstLine="640"/>
        <w:jc w:val="both"/>
      </w:pPr>
      <w:r>
        <w:rPr>
          <w:rFonts w:ascii="仿宋_GB2312" w:hAnsi="仿宋_GB2312" w:eastAsia="仿宋_GB2312"/>
          <w:b w:val="0"/>
          <w:sz w:val="32"/>
        </w:rPr>
        <w:t>本单位无其他需说明的事项。</w:t>
      </w:r>
    </w:p>
    <w:p w14:paraId="5142F34C">
      <w:r>
        <w:br w:type="page"/>
      </w:r>
    </w:p>
    <w:p w14:paraId="12ACDB31">
      <w:pPr>
        <w:spacing w:line="240" w:lineRule="auto"/>
        <w:jc w:val="center"/>
        <w:outlineLvl w:val="1"/>
      </w:pPr>
      <w:r>
        <w:rPr>
          <w:rFonts w:ascii="黑体" w:hAnsi="黑体" w:eastAsia="黑体"/>
          <w:sz w:val="32"/>
        </w:rPr>
        <w:t>第三部分 专业名词解释</w:t>
      </w:r>
    </w:p>
    <w:p w14:paraId="70D1D22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71DB8B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35523A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2D4FDE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3DC75A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F6E270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678EF3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DC552B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5A3E96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8D1E0F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4F8F7F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995DBD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7854C5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88AA2C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5154AD5">
      <w:r>
        <w:br w:type="page"/>
      </w:r>
    </w:p>
    <w:p w14:paraId="5627B091">
      <w:pPr>
        <w:spacing w:line="240" w:lineRule="auto"/>
        <w:jc w:val="center"/>
        <w:outlineLvl w:val="1"/>
      </w:pPr>
      <w:r>
        <w:rPr>
          <w:rFonts w:ascii="黑体" w:hAnsi="黑体" w:eastAsia="黑体"/>
          <w:sz w:val="32"/>
        </w:rPr>
        <w:t>第四部分 部门决算报表（见附表）</w:t>
      </w:r>
    </w:p>
    <w:p w14:paraId="18200916">
      <w:pPr>
        <w:spacing w:line="240" w:lineRule="auto"/>
        <w:ind w:firstLine="640"/>
        <w:jc w:val="both"/>
      </w:pPr>
      <w:r>
        <w:rPr>
          <w:rFonts w:ascii="仿宋_GB2312" w:hAnsi="仿宋_GB2312" w:eastAsia="仿宋_GB2312"/>
          <w:b w:val="0"/>
          <w:sz w:val="32"/>
        </w:rPr>
        <w:t>一、《收入支出决算总表》</w:t>
      </w:r>
    </w:p>
    <w:p w14:paraId="0D1805BB">
      <w:pPr>
        <w:spacing w:line="240" w:lineRule="auto"/>
        <w:ind w:firstLine="640"/>
        <w:jc w:val="both"/>
      </w:pPr>
      <w:r>
        <w:rPr>
          <w:rFonts w:ascii="仿宋_GB2312" w:hAnsi="仿宋_GB2312" w:eastAsia="仿宋_GB2312"/>
          <w:b w:val="0"/>
          <w:sz w:val="32"/>
        </w:rPr>
        <w:t>二、《收入决算表》</w:t>
      </w:r>
    </w:p>
    <w:p w14:paraId="1F1E28FE">
      <w:pPr>
        <w:spacing w:line="240" w:lineRule="auto"/>
        <w:ind w:firstLine="640"/>
        <w:jc w:val="both"/>
      </w:pPr>
      <w:r>
        <w:rPr>
          <w:rFonts w:ascii="仿宋_GB2312" w:hAnsi="仿宋_GB2312" w:eastAsia="仿宋_GB2312"/>
          <w:b w:val="0"/>
          <w:sz w:val="32"/>
        </w:rPr>
        <w:t>三、《支出决算表》</w:t>
      </w:r>
    </w:p>
    <w:p w14:paraId="72603218">
      <w:pPr>
        <w:spacing w:line="240" w:lineRule="auto"/>
        <w:ind w:firstLine="640"/>
        <w:jc w:val="both"/>
      </w:pPr>
      <w:r>
        <w:rPr>
          <w:rFonts w:ascii="仿宋_GB2312" w:hAnsi="仿宋_GB2312" w:eastAsia="仿宋_GB2312"/>
          <w:b w:val="0"/>
          <w:sz w:val="32"/>
        </w:rPr>
        <w:t>四、《财政拨款收入支出决算总表》</w:t>
      </w:r>
    </w:p>
    <w:p w14:paraId="1F0CB5A0">
      <w:pPr>
        <w:spacing w:line="240" w:lineRule="auto"/>
        <w:ind w:firstLine="640"/>
        <w:jc w:val="both"/>
      </w:pPr>
      <w:r>
        <w:rPr>
          <w:rFonts w:ascii="仿宋_GB2312" w:hAnsi="仿宋_GB2312" w:eastAsia="仿宋_GB2312"/>
          <w:b w:val="0"/>
          <w:sz w:val="32"/>
        </w:rPr>
        <w:t>五、《一般公共预算财政拨款支出决算表》</w:t>
      </w:r>
    </w:p>
    <w:p w14:paraId="014E61F8">
      <w:pPr>
        <w:spacing w:line="240" w:lineRule="auto"/>
        <w:ind w:firstLine="640"/>
        <w:jc w:val="both"/>
      </w:pPr>
      <w:r>
        <w:rPr>
          <w:rFonts w:ascii="仿宋_GB2312" w:hAnsi="仿宋_GB2312" w:eastAsia="仿宋_GB2312"/>
          <w:b w:val="0"/>
          <w:sz w:val="32"/>
        </w:rPr>
        <w:t>六、《一般公共预算财政拨款基本支出决算表》</w:t>
      </w:r>
    </w:p>
    <w:p w14:paraId="06A54931">
      <w:pPr>
        <w:spacing w:line="240" w:lineRule="auto"/>
        <w:ind w:firstLine="640"/>
        <w:jc w:val="both"/>
      </w:pPr>
      <w:r>
        <w:rPr>
          <w:rFonts w:ascii="仿宋_GB2312" w:hAnsi="仿宋_GB2312" w:eastAsia="仿宋_GB2312"/>
          <w:b w:val="0"/>
          <w:sz w:val="32"/>
        </w:rPr>
        <w:t>七、《政府性基金预算财政拨款收入支出决算表》</w:t>
      </w:r>
    </w:p>
    <w:p w14:paraId="08EA20AB">
      <w:pPr>
        <w:spacing w:line="240" w:lineRule="auto"/>
        <w:ind w:firstLine="640"/>
        <w:jc w:val="both"/>
      </w:pPr>
      <w:r>
        <w:rPr>
          <w:rFonts w:ascii="仿宋_GB2312" w:hAnsi="仿宋_GB2312" w:eastAsia="仿宋_GB2312"/>
          <w:b w:val="0"/>
          <w:sz w:val="32"/>
        </w:rPr>
        <w:t>八、《国有资本经营预算财政拨款收入支出决算表》</w:t>
      </w:r>
    </w:p>
    <w:p w14:paraId="7B7986AF">
      <w:pPr>
        <w:spacing w:line="240" w:lineRule="auto"/>
        <w:ind w:firstLine="640"/>
        <w:jc w:val="both"/>
      </w:pPr>
      <w:r>
        <w:rPr>
          <w:rFonts w:ascii="仿宋_GB2312" w:hAnsi="仿宋_GB2312" w:eastAsia="仿宋_GB2312"/>
          <w:b w:val="0"/>
          <w:sz w:val="32"/>
        </w:rPr>
        <w:t>九、《财政拨款“三公”经费支出决算表》</w:t>
      </w:r>
    </w:p>
    <w:p w14:paraId="4DF87954">
      <w:pPr>
        <w:spacing w:line="240" w:lineRule="auto"/>
        <w:ind w:firstLine="640"/>
        <w:jc w:val="both"/>
      </w:pPr>
    </w:p>
    <w:p w14:paraId="6F6F1E65">
      <w:pPr>
        <w:spacing w:line="240" w:lineRule="auto"/>
        <w:ind w:firstLine="640"/>
        <w:jc w:val="both"/>
      </w:pPr>
    </w:p>
    <w:p w14:paraId="4212AF43">
      <w:pPr>
        <w:spacing w:line="240" w:lineRule="auto"/>
        <w:ind w:firstLine="640"/>
        <w:jc w:val="both"/>
      </w:pPr>
    </w:p>
    <w:p w14:paraId="70A4B20F">
      <w:pPr>
        <w:spacing w:line="240" w:lineRule="auto"/>
        <w:ind w:firstLine="640"/>
        <w:jc w:val="both"/>
      </w:pPr>
    </w:p>
    <w:p w14:paraId="05E0558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85413F5"/>
    <w:rsid w:val="29116777"/>
    <w:rsid w:val="2A053397"/>
    <w:rsid w:val="2A2870B2"/>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D9462C8"/>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4758</Words>
  <Characters>5550</Characters>
  <Lines>0</Lines>
  <Paragraphs>0</Paragraphs>
  <TotalTime>127</TotalTime>
  <ScaleCrop>false</ScaleCrop>
  <LinksUpToDate>false</LinksUpToDate>
  <CharactersWithSpaces>5558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zll</cp:lastModifiedBy>
  <cp:lastPrinted>2024-07-22T11:58:00Z</cp:lastPrinted>
  <dcterms:modified xsi:type="dcterms:W3CDTF">2026-01-14T08:03:58Z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