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阿图什市吐古买提乡文体广电旅游服务中心2024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负责文化、宣传、科技、体育、广播电视、旅游等方面的服务工作；协助乡政府制定文化、宣传、科技、体育、广播电视、旅游等</w:t>
      </w:r>
      <w:r>
        <w:rPr>
          <w:rFonts w:hint="eastAsia" w:ascii="仿宋_GB2312" w:hAnsi="仿宋_GB2312" w:eastAsia="仿宋_GB2312"/>
          <w:sz w:val="32"/>
          <w:lang w:eastAsia="zh-CN"/>
        </w:rPr>
        <w:t>工作的开展</w:t>
      </w:r>
      <w:r>
        <w:rPr>
          <w:rFonts w:ascii="仿宋_GB2312" w:hAnsi="仿宋_GB2312" w:eastAsia="仿宋_GB2312"/>
          <w:sz w:val="32"/>
        </w:rPr>
        <w:t>规划和年度计划并组织实施，完成上级业务主管部门和乡</w:t>
      </w:r>
      <w:r>
        <w:rPr>
          <w:rFonts w:hint="eastAsia" w:ascii="仿宋_GB2312" w:hAnsi="仿宋_GB2312" w:eastAsia="仿宋_GB2312"/>
          <w:sz w:val="32"/>
          <w:lang w:eastAsia="zh-CN"/>
        </w:rPr>
        <w:t>镇党委、镇政府</w:t>
      </w:r>
      <w:r>
        <w:rPr>
          <w:rFonts w:ascii="仿宋_GB2312" w:hAnsi="仿宋_GB2312" w:eastAsia="仿宋_GB2312"/>
          <w:sz w:val="32"/>
        </w:rPr>
        <w:t>安排的各项工作。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阿图什市吐古买提乡文体广电旅游服务中心2024年度，实有人数7人，其中：在职人员6人，增加0人；离休人员0人，增加0人；退休人员1人</w:t>
      </w:r>
      <w:r>
        <w:rPr>
          <w:rFonts w:hint="eastAsia" w:ascii="仿宋_GB2312" w:hAnsi="仿宋_GB2312" w:eastAsia="仿宋_GB2312"/>
          <w:sz w:val="32"/>
          <w:lang w:eastAsia="zh-CN"/>
        </w:rPr>
        <w:t>，</w:t>
      </w:r>
      <w:r>
        <w:rPr>
          <w:rFonts w:ascii="仿宋_GB2312" w:hAnsi="仿宋_GB2312" w:eastAsia="仿宋_GB2312"/>
          <w:sz w:val="32"/>
        </w:rPr>
        <w:t>增加0人。</w:t>
      </w:r>
    </w:p>
    <w:p>
      <w:pPr>
        <w:spacing w:line="580" w:lineRule="exact"/>
        <w:ind w:firstLine="640"/>
        <w:jc w:val="both"/>
      </w:pPr>
      <w:r>
        <w:rPr>
          <w:rFonts w:ascii="仿宋_GB2312" w:hAnsi="仿宋_GB2312" w:eastAsia="仿宋_GB2312"/>
          <w:sz w:val="32"/>
        </w:rPr>
        <w:t>阿图什市吐古买提乡文体广电旅游服务中心无下属预算单位，下设2个科室，分别是：广播室、文化室。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2024年度收入总计89.69万元，</w:t>
      </w:r>
      <w:r>
        <w:rPr>
          <w:rFonts w:ascii="仿宋_GB2312" w:hAnsi="仿宋_GB2312" w:eastAsia="仿宋_GB2312"/>
          <w:b w:val="0"/>
          <w:sz w:val="32"/>
        </w:rPr>
        <w:t>其中：本年收入合计89.69万元，使用非财政拨款结余（含专用结余）0.00万元，年初结转和结余0.00万元。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2024年度支出总计89.69万元，</w:t>
      </w:r>
      <w:r>
        <w:rPr>
          <w:rFonts w:ascii="仿宋_GB2312" w:hAnsi="仿宋_GB2312" w:eastAsia="仿宋_GB2312"/>
          <w:b w:val="0"/>
          <w:sz w:val="32"/>
        </w:rPr>
        <w:t>其中：本年支出合计89.69万元，结余分配0.00万元，年末结转和结余0.00万元。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收入支出总体与上年相比，增加3.09万元，增长3.57%，主要原因是：本年在职人员工资调增，社保、公积金基数调增，人员经费增加。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本年收入89.69万元，</w:t>
      </w:r>
      <w:r>
        <w:rPr>
          <w:rFonts w:ascii="仿宋_GB2312" w:hAnsi="仿宋_GB2312" w:eastAsia="仿宋_GB2312"/>
          <w:b w:val="0"/>
          <w:sz w:val="32"/>
        </w:rPr>
        <w:t>其中：财政拨款收入89.69万元，占100.00%；上级补助收入0.00万元，占0.00%；事业收入0.00万元，占0.00%；经营收入0.00万元，占0.00%；附属单位上缴收入0.00万元，占0.00%；其他收入0.00万元，占0.00%。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本年支出89.69万元，</w:t>
      </w:r>
      <w:r>
        <w:rPr>
          <w:rFonts w:ascii="仿宋_GB2312" w:hAnsi="仿宋_GB2312" w:eastAsia="仿宋_GB2312"/>
          <w:b w:val="0"/>
          <w:sz w:val="32"/>
        </w:rPr>
        <w:t>其中：基本支出89.69万元，占100.00%；项目支出0.00万元，占0.00%；上缴上级支出0.00万元，占0.00%；经营支出0.00万元，占0.00%；对附属单位补助支出0.00万元，占0.00%。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2024年度财政拨款收入总计89.69万元，</w:t>
      </w:r>
      <w:r>
        <w:rPr>
          <w:rFonts w:ascii="仿宋_GB2312" w:hAnsi="仿宋_GB2312" w:eastAsia="仿宋_GB2312"/>
          <w:b w:val="0"/>
          <w:sz w:val="32"/>
        </w:rPr>
        <w:t>其中：年初财政拨款结转和结余0.00万元，本年财政拨款收入89.69万元。</w:t>
      </w:r>
      <w:r>
        <w:rPr>
          <w:rFonts w:ascii="仿宋_GB2312" w:hAnsi="仿宋_GB2312" w:eastAsia="仿宋_GB2312"/>
          <w:b/>
          <w:sz w:val="32"/>
        </w:rPr>
        <w:t>财政拨款支出总计89.69万元，</w:t>
      </w:r>
      <w:r>
        <w:rPr>
          <w:rFonts w:ascii="仿宋_GB2312" w:hAnsi="仿宋_GB2312" w:eastAsia="仿宋_GB2312"/>
          <w:b w:val="0"/>
          <w:sz w:val="32"/>
        </w:rPr>
        <w:t>其中：年末财政拨款结转和结余0.00万元，本年财政拨款支出89.69万元。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增加3.09万元，增长3.57%，主要原因是：本年在职人员工资调增，社保、公积金基数调增，人员经费增加。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年初预算数90.36万元，决算数89.69万元，预决算差异率-0.74%，主要原因是：</w:t>
      </w:r>
      <w:bookmarkStart w:id="0" w:name="_GoBack"/>
      <w:bookmarkEnd w:id="0"/>
      <w:r>
        <w:rPr>
          <w:rFonts w:ascii="仿宋_GB2312" w:hAnsi="仿宋_GB2312" w:eastAsia="仿宋_GB2312"/>
          <w:b w:val="0"/>
          <w:sz w:val="32"/>
        </w:rPr>
        <w:t>厉行节约，减少不必要的开支。</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2024年度一般公共预算财政拨款支出89.69万元，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增加3.09万元，增长3.57%，主要原因是：本年在职人员工资调增，社保、公积金基数调增，人员经费增加。</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年初预算数90.36万元，决算数89.69万元，预决算差异率-0.74%，主要原因是：厉行节约，减少不必要的开支。</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1.文化旅游体育与传媒支出(类)70.69万元</w:t>
      </w:r>
      <w:r>
        <w:rPr>
          <w:rFonts w:hint="eastAsia" w:ascii="仿宋_GB2312" w:hAnsi="仿宋_GB2312" w:eastAsia="仿宋_GB2312"/>
          <w:b w:val="0"/>
          <w:sz w:val="32"/>
          <w:lang w:eastAsia="zh-CN"/>
        </w:rPr>
        <w:t>，</w:t>
      </w:r>
      <w:r>
        <w:rPr>
          <w:rFonts w:ascii="仿宋_GB2312" w:hAnsi="仿宋_GB2312" w:eastAsia="仿宋_GB2312"/>
          <w:b w:val="0"/>
          <w:sz w:val="32"/>
        </w:rPr>
        <w:t>占78.82%。</w:t>
      </w:r>
    </w:p>
    <w:p>
      <w:pPr>
        <w:spacing w:line="580" w:lineRule="exact"/>
        <w:ind w:firstLine="640"/>
        <w:jc w:val="both"/>
      </w:pPr>
      <w:r>
        <w:rPr>
          <w:rFonts w:ascii="仿宋_GB2312" w:hAnsi="仿宋_GB2312" w:eastAsia="仿宋_GB2312"/>
          <w:b w:val="0"/>
          <w:sz w:val="32"/>
        </w:rPr>
        <w:t>2.社会保障和就业支出(类)9.52万元</w:t>
      </w:r>
      <w:r>
        <w:rPr>
          <w:rFonts w:hint="eastAsia" w:ascii="仿宋_GB2312" w:hAnsi="仿宋_GB2312" w:eastAsia="仿宋_GB2312"/>
          <w:b w:val="0"/>
          <w:sz w:val="32"/>
          <w:lang w:eastAsia="zh-CN"/>
        </w:rPr>
        <w:t>，</w:t>
      </w:r>
      <w:r>
        <w:rPr>
          <w:rFonts w:ascii="仿宋_GB2312" w:hAnsi="仿宋_GB2312" w:eastAsia="仿宋_GB2312"/>
          <w:b w:val="0"/>
          <w:sz w:val="32"/>
        </w:rPr>
        <w:t>占10.61%。</w:t>
      </w:r>
    </w:p>
    <w:p>
      <w:pPr>
        <w:spacing w:line="580" w:lineRule="exact"/>
        <w:ind w:firstLine="640"/>
        <w:jc w:val="both"/>
      </w:pPr>
      <w:r>
        <w:rPr>
          <w:rFonts w:ascii="仿宋_GB2312" w:hAnsi="仿宋_GB2312" w:eastAsia="仿宋_GB2312"/>
          <w:b w:val="0"/>
          <w:sz w:val="32"/>
        </w:rPr>
        <w:t>3.卫生健康支出(类)2.64万元</w:t>
      </w:r>
      <w:r>
        <w:rPr>
          <w:rFonts w:hint="eastAsia" w:ascii="仿宋_GB2312" w:hAnsi="仿宋_GB2312" w:eastAsia="仿宋_GB2312"/>
          <w:b w:val="0"/>
          <w:sz w:val="32"/>
          <w:lang w:eastAsia="zh-CN"/>
        </w:rPr>
        <w:t>，</w:t>
      </w:r>
      <w:r>
        <w:rPr>
          <w:rFonts w:ascii="仿宋_GB2312" w:hAnsi="仿宋_GB2312" w:eastAsia="仿宋_GB2312"/>
          <w:b w:val="0"/>
          <w:sz w:val="32"/>
        </w:rPr>
        <w:t>占2.94%。</w:t>
      </w:r>
    </w:p>
    <w:p>
      <w:pPr>
        <w:spacing w:line="580" w:lineRule="exact"/>
        <w:ind w:firstLine="640"/>
        <w:jc w:val="both"/>
      </w:pPr>
      <w:r>
        <w:rPr>
          <w:rFonts w:ascii="仿宋_GB2312" w:hAnsi="仿宋_GB2312" w:eastAsia="仿宋_GB2312"/>
          <w:b w:val="0"/>
          <w:sz w:val="32"/>
        </w:rPr>
        <w:t>4.住房保障支出(类)6.84万元</w:t>
      </w:r>
      <w:r>
        <w:rPr>
          <w:rFonts w:hint="eastAsia" w:ascii="仿宋_GB2312" w:hAnsi="仿宋_GB2312" w:eastAsia="仿宋_GB2312"/>
          <w:b w:val="0"/>
          <w:sz w:val="32"/>
          <w:lang w:eastAsia="zh-CN"/>
        </w:rPr>
        <w:t>，</w:t>
      </w:r>
      <w:r>
        <w:rPr>
          <w:rFonts w:ascii="仿宋_GB2312" w:hAnsi="仿宋_GB2312" w:eastAsia="仿宋_GB2312"/>
          <w:b w:val="0"/>
          <w:sz w:val="32"/>
        </w:rPr>
        <w:t>占7.63%。</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1.文化旅游体育与传媒支出(类)广播电视(款)其他广播电视支出(项)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支出决算数为70.69万元，比上年决算增加1.07万元，增长1.54%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主要原因是：本年人员工资调增，相关基本支出增加。</w:t>
      </w:r>
    </w:p>
    <w:p>
      <w:pPr>
        <w:spacing w:line="580" w:lineRule="exact"/>
        <w:ind w:firstLine="640"/>
        <w:jc w:val="both"/>
      </w:pPr>
      <w:r>
        <w:rPr>
          <w:rFonts w:ascii="仿宋_GB2312" w:hAnsi="仿宋_GB2312" w:eastAsia="仿宋_GB2312"/>
          <w:b w:val="0"/>
          <w:sz w:val="32"/>
        </w:rPr>
        <w:t>2.社会保障和就业支出(类)行政事业单位养老支出(款)事业单位离退休(项)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支出决算数为1.24万元，比上年决算增加1.00万元，增长416.67%</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主要原因是：本年增加退休人员基础绩效奖，退休费支出增加。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支出决算数为8.29万元，比上年决算增加0.39万元，增长4.94%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主要原因是：本年人员工资基数调增，养老缴费基数上涨，相应支出增加。</w:t>
      </w:r>
    </w:p>
    <w:p>
      <w:pPr>
        <w:spacing w:line="580" w:lineRule="exact"/>
        <w:ind w:firstLine="640"/>
        <w:jc w:val="both"/>
      </w:pPr>
      <w:r>
        <w:rPr>
          <w:rFonts w:ascii="仿宋_GB2312" w:hAnsi="仿宋_GB2312" w:eastAsia="仿宋_GB2312"/>
          <w:b w:val="0"/>
          <w:sz w:val="32"/>
        </w:rPr>
        <w:t>4.卫生健康支出(类)行政事业单位医疗(款)事业单位医疗(项)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支出决算数为2.64万元，比上年决算增加0.10万元，增长3.94%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主要原因是：本年人员工资基数调增，医疗缴费基数上涨，相应支出增加。</w:t>
      </w:r>
    </w:p>
    <w:p>
      <w:pPr>
        <w:spacing w:line="580" w:lineRule="exact"/>
        <w:ind w:firstLine="640"/>
        <w:jc w:val="both"/>
      </w:pPr>
      <w:r>
        <w:rPr>
          <w:rFonts w:ascii="仿宋_GB2312" w:hAnsi="仿宋_GB2312" w:eastAsia="仿宋_GB2312"/>
          <w:b w:val="0"/>
          <w:sz w:val="32"/>
        </w:rPr>
        <w:t>5.住房保障支出(类)住房改革支出(款)住房公积金(项)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支出决算数为6.84万元，比上年决算增加0.53万元，增长8.40%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2024年度一般公共预算财政拨款基本支出89.69万元，其中：</w:t>
      </w:r>
      <w:r>
        <w:rPr>
          <w:rFonts w:ascii="仿宋_GB2312" w:hAnsi="仿宋_GB2312" w:eastAsia="仿宋_GB2312"/>
          <w:b/>
          <w:sz w:val="32"/>
        </w:rPr>
        <w:t>人员经费87.89万元，</w:t>
      </w:r>
      <w:r>
        <w:rPr>
          <w:rFonts w:ascii="仿宋_GB2312" w:hAnsi="仿宋_GB2312" w:eastAsia="仿宋_GB2312"/>
          <w:b w:val="0"/>
          <w:sz w:val="32"/>
        </w:rPr>
        <w:t>包括：基本工资、津贴补贴、奖金、机关事业单位基本养老保险缴费、职工基本医疗保险缴费、其他社会保障缴费、住房公积金、退休费、生活补助。</w:t>
      </w:r>
    </w:p>
    <w:p>
      <w:pPr>
        <w:spacing w:line="580" w:lineRule="exact"/>
        <w:ind w:firstLine="640"/>
        <w:jc w:val="both"/>
      </w:pPr>
      <w:r>
        <w:rPr>
          <w:rFonts w:ascii="仿宋_GB2312" w:hAnsi="仿宋_GB2312" w:eastAsia="仿宋_GB2312"/>
          <w:b/>
          <w:sz w:val="32"/>
        </w:rPr>
        <w:t>公用经费1.80万元，</w:t>
      </w:r>
      <w:r>
        <w:rPr>
          <w:rFonts w:ascii="仿宋_GB2312" w:hAnsi="仿宋_GB2312" w:eastAsia="仿宋_GB2312"/>
          <w:b w:val="0"/>
          <w:sz w:val="32"/>
        </w:rPr>
        <w:t>包括：办公费、取暖费。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2024年度阿图什市吐古买提乡文体广电旅游服务中心（事业单位）公用经费支出1.80万元，比上年增加0.00万元，增长0.00%，主要原因是：本年公用经费与上年相比无变化。</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预算绩效项目。发现的问题及原因：本单位无预算绩效项目。下一步改进措施：本单位无预算绩效项目。</w:t>
      </w:r>
    </w:p>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本单位2024年度无政府采购支出，授予中小企业合同金额0.00万元。本年度本单位整体绩效自评表由阿图什市吐古买提乡人民政府编报并公开。</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33A1B7B-CDB5-4499-8CFA-6A2955BEF7A3}"/>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embedRegular r:id="rId2" w:fontKey="{C1693A76-A447-4884-ACC6-B1A85548F0DC}"/>
  </w:font>
  <w:font w:name="仿宋_GB2312">
    <w:panose1 w:val="02010609030101010101"/>
    <w:charset w:val="86"/>
    <w:family w:val="modern"/>
    <w:pitch w:val="default"/>
    <w:sig w:usb0="00000001" w:usb1="080E0000" w:usb2="00000000" w:usb3="00000000" w:csb0="00040000" w:csb1="00000000"/>
    <w:embedRegular r:id="rId3" w:fontKey="{7F2F24A2-124C-4B4E-A0BE-B58876A81AAA}"/>
  </w:font>
  <w:font w:name="楷体_GB2312">
    <w:panose1 w:val="02010609030101010101"/>
    <w:charset w:val="86"/>
    <w:family w:val="auto"/>
    <w:pitch w:val="default"/>
    <w:sig w:usb0="00000001" w:usb1="080E0000" w:usb2="00000000" w:usb3="00000000" w:csb0="00040000" w:csb1="00000000"/>
    <w:embedRegular r:id="rId4" w:fontKey="{AFF06D1E-147A-49CA-8917-AED88FFF531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1FA81359"/>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6C92718"/>
    <w:rsid w:val="376417FD"/>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5EAE"/>
    <w:rsid w:val="587E6212"/>
    <w:rsid w:val="5AFC6609"/>
    <w:rsid w:val="5FA17648"/>
    <w:rsid w:val="5FBF2A67"/>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4783</Words>
  <Characters>5324</Characters>
  <Lines>0</Lines>
  <Paragraphs>0</Paragraphs>
  <TotalTime>1</TotalTime>
  <ScaleCrop>false</ScaleCrop>
  <LinksUpToDate>false</LinksUpToDate>
  <CharactersWithSpaces>5334</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2025-09-17T11:57:45Z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eyJoZGlkIjoiNTliMzZiYjRlN2VlNDIwNWJkNWMyNGYxMWEyN2ViYWUiLCJ1c2VySWQiOiI0NDQ5NDYzNjEifQ==</vt:lpwstr>
  </property>
</Properties>
</file>