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阿图什市教育发展中心2024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AEEBB89">
      <w:r>
        <w:br w:type="page"/>
      </w:r>
    </w:p>
    <w:p w14:paraId="12361C30">
      <w:pPr>
        <w:spacing w:line="640" w:lineRule="exact"/>
        <w:jc w:val="center"/>
        <w:outlineLvl w:val="1"/>
      </w:pPr>
      <w:r>
        <w:rPr>
          <w:rFonts w:ascii="黑体" w:hAnsi="黑体" w:eastAsia="黑体"/>
          <w:sz w:val="32"/>
        </w:rPr>
        <w:t>第一部分 单位概况</w:t>
      </w:r>
    </w:p>
    <w:p w14:paraId="10DAAAEF">
      <w:pPr>
        <w:spacing w:line="640" w:lineRule="exact"/>
        <w:ind w:firstLine="640"/>
        <w:jc w:val="both"/>
        <w:outlineLvl w:val="2"/>
      </w:pPr>
      <w:r>
        <w:rPr>
          <w:rFonts w:ascii="黑体" w:hAnsi="黑体" w:eastAsia="黑体"/>
          <w:sz w:val="32"/>
        </w:rPr>
        <w:t>一、主要职能</w:t>
      </w:r>
    </w:p>
    <w:p w14:paraId="188552F9">
      <w:pPr>
        <w:spacing w:line="580" w:lineRule="exact"/>
        <w:ind w:firstLine="640"/>
        <w:jc w:val="both"/>
      </w:pPr>
      <w:r>
        <w:rPr>
          <w:rFonts w:ascii="仿宋_GB2312" w:hAnsi="仿宋_GB2312" w:eastAsia="仿宋_GB2312"/>
          <w:sz w:val="32"/>
        </w:rPr>
        <w:t>承担全市教育系统的安全保卫，安全教育综合治理，相关基础设施规划建设教育装备配备等工作。负责组织指导，开展全市青少年科技文化教育工作。</w:t>
      </w:r>
    </w:p>
    <w:p w14:paraId="75778769">
      <w:pPr>
        <w:spacing w:line="640" w:lineRule="exact"/>
        <w:ind w:firstLine="640"/>
        <w:jc w:val="both"/>
        <w:outlineLvl w:val="2"/>
      </w:pPr>
      <w:r>
        <w:rPr>
          <w:rFonts w:ascii="黑体" w:hAnsi="黑体" w:eastAsia="黑体"/>
          <w:sz w:val="32"/>
        </w:rPr>
        <w:t>二、机构设置及人员情况</w:t>
      </w:r>
    </w:p>
    <w:p w14:paraId="7541C868">
      <w:pPr>
        <w:spacing w:line="580" w:lineRule="exact"/>
        <w:ind w:firstLine="640"/>
        <w:jc w:val="both"/>
      </w:pPr>
      <w:r>
        <w:rPr>
          <w:rFonts w:ascii="仿宋_GB2312" w:hAnsi="仿宋_GB2312" w:eastAsia="仿宋_GB2312"/>
          <w:sz w:val="32"/>
        </w:rPr>
        <w:t>阿图什市教育发展中心2024年度，实有人数0人，其中：在职人员0人，增加0人；离休人员0人，增加0人；退休人员0人,增加0人。</w:t>
      </w:r>
    </w:p>
    <w:p w14:paraId="15FE5023">
      <w:pPr>
        <w:spacing w:line="580" w:lineRule="exact"/>
        <w:ind w:firstLine="640"/>
        <w:jc w:val="both"/>
      </w:pPr>
      <w:r>
        <w:rPr>
          <w:rFonts w:ascii="仿宋_GB2312" w:hAnsi="仿宋_GB2312" w:eastAsia="仿宋_GB2312"/>
          <w:sz w:val="32"/>
        </w:rPr>
        <w:t>阿图什市教育发展中心无下属预算单位，下设3个科室，分别是：项目办、校安办、教研室。</w:t>
      </w:r>
    </w:p>
    <w:p w14:paraId="78D10120">
      <w:r>
        <w:br w:type="page"/>
      </w:r>
    </w:p>
    <w:p w14:paraId="3113513F">
      <w:pPr>
        <w:spacing w:line="240" w:lineRule="auto"/>
        <w:jc w:val="center"/>
        <w:outlineLvl w:val="1"/>
      </w:pPr>
      <w:r>
        <w:rPr>
          <w:rFonts w:ascii="黑体" w:hAnsi="黑体" w:eastAsia="黑体"/>
          <w:sz w:val="32"/>
        </w:rPr>
        <w:t>第二部分 部门决算情况说明</w:t>
      </w:r>
    </w:p>
    <w:p w14:paraId="0BC04063">
      <w:pPr>
        <w:spacing w:line="640" w:lineRule="exact"/>
        <w:ind w:firstLine="640"/>
        <w:jc w:val="both"/>
        <w:outlineLvl w:val="2"/>
      </w:pPr>
      <w:r>
        <w:rPr>
          <w:rFonts w:ascii="黑体" w:hAnsi="黑体" w:eastAsia="黑体"/>
          <w:sz w:val="32"/>
        </w:rPr>
        <w:t>一、收入支出决算总体情况说明</w:t>
      </w:r>
    </w:p>
    <w:p w14:paraId="434B5FE0">
      <w:pPr>
        <w:spacing w:line="580" w:lineRule="exact"/>
        <w:ind w:firstLine="640"/>
        <w:jc w:val="both"/>
      </w:pPr>
      <w:r>
        <w:rPr>
          <w:rFonts w:ascii="仿宋_GB2312" w:hAnsi="仿宋_GB2312" w:eastAsia="仿宋_GB2312"/>
          <w:b/>
          <w:sz w:val="32"/>
        </w:rPr>
        <w:t>2024年度收入总计7,835.84万元，</w:t>
      </w:r>
      <w:r>
        <w:rPr>
          <w:rFonts w:ascii="仿宋_GB2312" w:hAnsi="仿宋_GB2312" w:eastAsia="仿宋_GB2312"/>
          <w:b w:val="0"/>
          <w:sz w:val="32"/>
        </w:rPr>
        <w:t>其中：本年收入合计7,835.84万元，使用非财政拨款结余（含专用结余）0.00万元，年初结转和结余0.00万元。</w:t>
      </w:r>
    </w:p>
    <w:p w14:paraId="152A5F59">
      <w:pPr>
        <w:spacing w:line="580" w:lineRule="exact"/>
        <w:ind w:firstLine="640"/>
        <w:jc w:val="both"/>
      </w:pPr>
      <w:r>
        <w:rPr>
          <w:rFonts w:ascii="仿宋_GB2312" w:hAnsi="仿宋_GB2312" w:eastAsia="仿宋_GB2312"/>
          <w:b/>
          <w:sz w:val="32"/>
        </w:rPr>
        <w:t>2024年度支出总计7,835.84万元，</w:t>
      </w:r>
      <w:r>
        <w:rPr>
          <w:rFonts w:ascii="仿宋_GB2312" w:hAnsi="仿宋_GB2312" w:eastAsia="仿宋_GB2312"/>
          <w:b w:val="0"/>
          <w:sz w:val="32"/>
        </w:rPr>
        <w:t>其中：本年支出合计7,835.80万元，结余分配0.00万元，年末结转和结余0.03万元。</w:t>
      </w:r>
    </w:p>
    <w:p w14:paraId="05046F88">
      <w:pPr>
        <w:spacing w:line="580" w:lineRule="exact"/>
        <w:ind w:firstLine="640"/>
        <w:jc w:val="both"/>
      </w:pPr>
      <w:r>
        <w:rPr>
          <w:rFonts w:ascii="仿宋_GB2312" w:hAnsi="仿宋_GB2312" w:eastAsia="仿宋_GB2312"/>
          <w:b w:val="0"/>
          <w:sz w:val="32"/>
        </w:rPr>
        <w:t>收入支出总体与上年相比，增加7,835.84万元，增长100.00%，主要原因是：本单位为新增单位，无上年数据，故增长100%。</w:t>
      </w:r>
    </w:p>
    <w:p w14:paraId="775C6C89">
      <w:pPr>
        <w:spacing w:line="640" w:lineRule="exact"/>
        <w:ind w:firstLine="640"/>
        <w:jc w:val="both"/>
        <w:outlineLvl w:val="2"/>
      </w:pPr>
      <w:r>
        <w:rPr>
          <w:rFonts w:ascii="黑体" w:hAnsi="黑体" w:eastAsia="黑体"/>
          <w:sz w:val="32"/>
        </w:rPr>
        <w:t>二、收入决算情况说明</w:t>
      </w:r>
    </w:p>
    <w:p w14:paraId="0626D8DF">
      <w:pPr>
        <w:spacing w:line="580" w:lineRule="exact"/>
        <w:ind w:firstLine="640"/>
        <w:jc w:val="both"/>
      </w:pPr>
      <w:r>
        <w:rPr>
          <w:rFonts w:ascii="仿宋_GB2312" w:hAnsi="仿宋_GB2312" w:eastAsia="仿宋_GB2312"/>
          <w:b/>
          <w:sz w:val="32"/>
        </w:rPr>
        <w:t>本年收入7,835.84万元，</w:t>
      </w:r>
      <w:r>
        <w:rPr>
          <w:rFonts w:ascii="仿宋_GB2312" w:hAnsi="仿宋_GB2312" w:eastAsia="仿宋_GB2312"/>
          <w:b w:val="0"/>
          <w:sz w:val="32"/>
        </w:rPr>
        <w:t>其中：财政拨款收入5,006.62万元，占63.89%；上级补助收入0.00万元，占0.00%；事业收入0.00万元，占0.00%；经营收入0.00万元，占0.00%；附属单位上缴收入0.00万元，占0.00%；其他收入2,829.22万元，占36.11%。</w:t>
      </w:r>
    </w:p>
    <w:p w14:paraId="6FD380FC">
      <w:pPr>
        <w:spacing w:line="640" w:lineRule="exact"/>
        <w:ind w:firstLine="640"/>
        <w:jc w:val="both"/>
        <w:outlineLvl w:val="2"/>
      </w:pPr>
      <w:r>
        <w:rPr>
          <w:rFonts w:ascii="黑体" w:hAnsi="黑体" w:eastAsia="黑体"/>
          <w:sz w:val="32"/>
        </w:rPr>
        <w:t>三、支出决算情况说明</w:t>
      </w:r>
    </w:p>
    <w:p w14:paraId="65539BB6">
      <w:pPr>
        <w:spacing w:line="580" w:lineRule="exact"/>
        <w:ind w:firstLine="640"/>
        <w:jc w:val="both"/>
      </w:pPr>
      <w:r>
        <w:rPr>
          <w:rFonts w:ascii="仿宋_GB2312" w:hAnsi="仿宋_GB2312" w:eastAsia="仿宋_GB2312"/>
          <w:b/>
          <w:sz w:val="32"/>
        </w:rPr>
        <w:t>本年支出7,835.80万元，</w:t>
      </w:r>
      <w:r>
        <w:rPr>
          <w:rFonts w:ascii="仿宋_GB2312" w:hAnsi="仿宋_GB2312" w:eastAsia="仿宋_GB2312"/>
          <w:b w:val="0"/>
          <w:sz w:val="32"/>
        </w:rPr>
        <w:t>其中：基本支出0.00万元，占0.00%；项目支出7,835.80万元，占100.00%；上缴上级支出0.00万元，占0.00%；经营支出0.00万元，占0.00%；对附属单位补助支出0.00万元，占0.00%。</w:t>
      </w:r>
    </w:p>
    <w:p w14:paraId="511AE780">
      <w:pPr>
        <w:spacing w:line="640" w:lineRule="exact"/>
        <w:ind w:firstLine="640"/>
        <w:jc w:val="both"/>
        <w:outlineLvl w:val="2"/>
      </w:pPr>
      <w:r>
        <w:rPr>
          <w:rFonts w:ascii="黑体" w:hAnsi="黑体" w:eastAsia="黑体"/>
          <w:sz w:val="32"/>
        </w:rPr>
        <w:t>四、财政拨款收入支出决算总体情况说明</w:t>
      </w:r>
    </w:p>
    <w:p w14:paraId="61B152B5">
      <w:pPr>
        <w:spacing w:line="580" w:lineRule="exact"/>
        <w:ind w:firstLine="640"/>
        <w:jc w:val="both"/>
      </w:pPr>
      <w:r>
        <w:rPr>
          <w:rFonts w:ascii="仿宋_GB2312" w:hAnsi="仿宋_GB2312" w:eastAsia="仿宋_GB2312"/>
          <w:b/>
          <w:sz w:val="32"/>
        </w:rPr>
        <w:t>2024年度财政拨款收入总计5,006.62万元，</w:t>
      </w:r>
      <w:r>
        <w:rPr>
          <w:rFonts w:ascii="仿宋_GB2312" w:hAnsi="仿宋_GB2312" w:eastAsia="仿宋_GB2312"/>
          <w:b w:val="0"/>
          <w:sz w:val="32"/>
        </w:rPr>
        <w:t>其中：年初财政拨款结转和结余0.00万元，本年财政拨款收入5,006.62万元。</w:t>
      </w:r>
      <w:r>
        <w:rPr>
          <w:rFonts w:ascii="仿宋_GB2312" w:hAnsi="仿宋_GB2312" w:eastAsia="仿宋_GB2312"/>
          <w:b/>
          <w:sz w:val="32"/>
        </w:rPr>
        <w:t>财政拨款支出总计5,006.62万元，</w:t>
      </w:r>
      <w:r>
        <w:rPr>
          <w:rFonts w:ascii="仿宋_GB2312" w:hAnsi="仿宋_GB2312" w:eastAsia="仿宋_GB2312"/>
          <w:b w:val="0"/>
          <w:sz w:val="32"/>
        </w:rPr>
        <w:t>其中：年末财政拨款结转和结余0.00万元，本年财政拨款支出5,006.62万元。</w:t>
      </w:r>
    </w:p>
    <w:p w14:paraId="2B4AC55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增加5,006.62万元，增长100.00%，主要原因是：本单位为新增单位，无上年数据，故增长100%。</w:t>
      </w:r>
      <w:r>
        <w:rPr>
          <w:rFonts w:ascii="仿宋_GB2312" w:hAnsi="仿宋_GB2312" w:eastAsia="仿宋_GB2312"/>
          <w:b/>
          <w:sz w:val="32"/>
        </w:rPr>
        <w:t>与年初预算相比，</w:t>
      </w:r>
      <w:r>
        <w:rPr>
          <w:rFonts w:ascii="仿宋_GB2312" w:hAnsi="仿宋_GB2312" w:eastAsia="仿宋_GB2312"/>
          <w:b w:val="0"/>
          <w:sz w:val="32"/>
        </w:rPr>
        <w:t>年初预算数0.00万元，决算数5,006.62万元，预决算差异率100.00%，主要原因是：本单位</w:t>
      </w:r>
      <w:r>
        <w:rPr>
          <w:rFonts w:hint="eastAsia" w:ascii="仿宋_GB2312" w:hAnsi="仿宋_GB2312" w:eastAsia="仿宋_GB2312"/>
          <w:b w:val="0"/>
          <w:sz w:val="32"/>
          <w:lang w:val="en-US" w:eastAsia="zh-CN"/>
        </w:rPr>
        <w:t>为</w:t>
      </w:r>
      <w:r>
        <w:rPr>
          <w:rFonts w:ascii="仿宋_GB2312" w:hAnsi="仿宋_GB2312" w:eastAsia="仿宋_GB2312"/>
          <w:b w:val="0"/>
          <w:sz w:val="32"/>
        </w:rPr>
        <w:t>新增单位，年中追加阿图什市第六小学建设项目，导致预决算存在差异。</w:t>
      </w:r>
    </w:p>
    <w:p w14:paraId="7A98C5AB">
      <w:pPr>
        <w:spacing w:line="640" w:lineRule="exact"/>
        <w:ind w:firstLine="640"/>
        <w:jc w:val="both"/>
        <w:outlineLvl w:val="2"/>
      </w:pPr>
      <w:r>
        <w:rPr>
          <w:rFonts w:ascii="黑体" w:hAnsi="黑体" w:eastAsia="黑体"/>
          <w:sz w:val="32"/>
        </w:rPr>
        <w:t>五、一般公共预算财政拨款支出决算情况说明</w:t>
      </w:r>
    </w:p>
    <w:p w14:paraId="7C957BB0">
      <w:pPr>
        <w:spacing w:line="640" w:lineRule="exact"/>
        <w:ind w:firstLine="640"/>
        <w:jc w:val="both"/>
        <w:outlineLvl w:val="3"/>
      </w:pPr>
      <w:r>
        <w:rPr>
          <w:rFonts w:ascii="楷体_GB2312" w:hAnsi="楷体_GB2312" w:eastAsia="楷体_GB2312"/>
          <w:b/>
          <w:sz w:val="32"/>
        </w:rPr>
        <w:t>（一）一般公共预算财政拨款支出决算总体情况</w:t>
      </w:r>
    </w:p>
    <w:p w14:paraId="520240FB">
      <w:pPr>
        <w:spacing w:line="580" w:lineRule="exact"/>
        <w:ind w:firstLine="640"/>
        <w:jc w:val="both"/>
      </w:pPr>
      <w:r>
        <w:rPr>
          <w:rFonts w:ascii="仿宋_GB2312" w:hAnsi="仿宋_GB2312" w:eastAsia="仿宋_GB2312"/>
          <w:b/>
          <w:sz w:val="32"/>
        </w:rPr>
        <w:t>2024年度一般公共预算财政拨款支出5,006.62万元，</w:t>
      </w:r>
      <w:r>
        <w:rPr>
          <w:rFonts w:ascii="仿宋_GB2312" w:hAnsi="仿宋_GB2312" w:eastAsia="仿宋_GB2312"/>
          <w:b w:val="0"/>
          <w:sz w:val="32"/>
        </w:rPr>
        <w:t>占本年支出合计的63.89%。</w:t>
      </w:r>
      <w:r>
        <w:rPr>
          <w:rFonts w:ascii="仿宋_GB2312" w:hAnsi="仿宋_GB2312" w:eastAsia="仿宋_GB2312"/>
          <w:b/>
          <w:sz w:val="32"/>
        </w:rPr>
        <w:t>与上年相比，</w:t>
      </w:r>
      <w:r>
        <w:rPr>
          <w:rFonts w:ascii="仿宋_GB2312" w:hAnsi="仿宋_GB2312" w:eastAsia="仿宋_GB2312"/>
          <w:b w:val="0"/>
          <w:sz w:val="32"/>
        </w:rPr>
        <w:t>增加5,006.62万元，增长100.00%，主要原因是：本单位为新增单位，无上年数据，故增长100%。</w:t>
      </w:r>
      <w:r>
        <w:rPr>
          <w:rFonts w:ascii="仿宋_GB2312" w:hAnsi="仿宋_GB2312" w:eastAsia="仿宋_GB2312"/>
          <w:b/>
          <w:sz w:val="32"/>
        </w:rPr>
        <w:t>与年初预算相比,</w:t>
      </w:r>
      <w:r>
        <w:rPr>
          <w:rFonts w:ascii="仿宋_GB2312" w:hAnsi="仿宋_GB2312" w:eastAsia="仿宋_GB2312"/>
          <w:b w:val="0"/>
          <w:sz w:val="32"/>
        </w:rPr>
        <w:t>年初预算数0.00万元，决算数5,006.62万元，预决算差异率100.00%，主要原因是：本单位</w:t>
      </w:r>
      <w:r>
        <w:rPr>
          <w:rFonts w:hint="eastAsia" w:ascii="仿宋_GB2312" w:hAnsi="仿宋_GB2312" w:eastAsia="仿宋_GB2312"/>
          <w:b w:val="0"/>
          <w:sz w:val="32"/>
          <w:lang w:val="en-US" w:eastAsia="zh-CN"/>
        </w:rPr>
        <w:t>为</w:t>
      </w:r>
      <w:r>
        <w:rPr>
          <w:rFonts w:ascii="仿宋_GB2312" w:hAnsi="仿宋_GB2312" w:eastAsia="仿宋_GB2312"/>
          <w:b w:val="0"/>
          <w:sz w:val="32"/>
        </w:rPr>
        <w:t>新增单位，年中追加阿图什市第六小学建设项目，导致预决算存在差异。</w:t>
      </w:r>
    </w:p>
    <w:p w14:paraId="5A067007">
      <w:pPr>
        <w:spacing w:line="640" w:lineRule="exact"/>
        <w:ind w:firstLine="640"/>
        <w:jc w:val="both"/>
        <w:outlineLvl w:val="3"/>
      </w:pPr>
      <w:r>
        <w:rPr>
          <w:rFonts w:ascii="楷体_GB2312" w:hAnsi="楷体_GB2312" w:eastAsia="楷体_GB2312"/>
          <w:b/>
          <w:sz w:val="32"/>
        </w:rPr>
        <w:t>（二）一般公共预算财政拨款支出决算结构情况</w:t>
      </w:r>
    </w:p>
    <w:p w14:paraId="59285D20">
      <w:pPr>
        <w:spacing w:line="580" w:lineRule="exact"/>
        <w:ind w:firstLine="640"/>
        <w:jc w:val="both"/>
      </w:pPr>
      <w:r>
        <w:rPr>
          <w:rFonts w:ascii="仿宋_GB2312" w:hAnsi="仿宋_GB2312" w:eastAsia="仿宋_GB2312"/>
          <w:b w:val="0"/>
          <w:sz w:val="32"/>
        </w:rPr>
        <w:t>1.教育支出(类)5,006.62万元,占100.00%。</w:t>
      </w:r>
    </w:p>
    <w:p w14:paraId="375F872F">
      <w:pPr>
        <w:spacing w:line="640" w:lineRule="exact"/>
        <w:ind w:firstLine="640"/>
        <w:jc w:val="both"/>
        <w:outlineLvl w:val="3"/>
      </w:pPr>
      <w:r>
        <w:rPr>
          <w:rFonts w:ascii="楷体_GB2312" w:hAnsi="楷体_GB2312" w:eastAsia="楷体_GB2312"/>
          <w:b/>
          <w:sz w:val="32"/>
        </w:rPr>
        <w:t>（三）一般公共预算财政拨款支出决算具体情况</w:t>
      </w:r>
    </w:p>
    <w:p w14:paraId="49EBF9C3">
      <w:pPr>
        <w:spacing w:line="580" w:lineRule="exact"/>
        <w:ind w:firstLine="640"/>
        <w:jc w:val="both"/>
      </w:pPr>
      <w:r>
        <w:rPr>
          <w:rFonts w:ascii="仿宋_GB2312" w:hAnsi="仿宋_GB2312" w:eastAsia="仿宋_GB2312"/>
          <w:b w:val="0"/>
          <w:sz w:val="32"/>
        </w:rPr>
        <w:t>1.教育支出(类)普通教育(款)学前教育(项):支出决算数为1,444.83万元，比上年决算增加1,444.83万元，增长100.00%,主要原因是：本单位为新增单位，无上年数据，故增长100%。</w:t>
      </w:r>
    </w:p>
    <w:p w14:paraId="393E3638">
      <w:pPr>
        <w:spacing w:line="580" w:lineRule="exact"/>
        <w:ind w:firstLine="640"/>
        <w:jc w:val="both"/>
      </w:pPr>
      <w:r>
        <w:rPr>
          <w:rFonts w:ascii="仿宋_GB2312" w:hAnsi="仿宋_GB2312" w:eastAsia="仿宋_GB2312"/>
          <w:b w:val="0"/>
          <w:sz w:val="32"/>
        </w:rPr>
        <w:t>2.教育支出(类)普通教育(款)小学教育(项):支出决算数为447.07万元，比上年决算增加447.07万元，增长100.00%,主要原因是：本单位为新增单位，无上年数据，故增长100%。</w:t>
      </w:r>
    </w:p>
    <w:p w14:paraId="1803E8EC">
      <w:pPr>
        <w:spacing w:line="580" w:lineRule="exact"/>
        <w:ind w:firstLine="640"/>
        <w:jc w:val="both"/>
      </w:pPr>
      <w:r>
        <w:rPr>
          <w:rFonts w:ascii="仿宋_GB2312" w:hAnsi="仿宋_GB2312" w:eastAsia="仿宋_GB2312"/>
          <w:b w:val="0"/>
          <w:sz w:val="32"/>
        </w:rPr>
        <w:t>3.教育支出(类)普通教育(款)初中教育(项):支出决算数为1,626.51万元，比上年决算增加1,626.51万元，增长100.00%,主要原因是：本单位为新增单位，无上年数据，故增长100%。</w:t>
      </w:r>
    </w:p>
    <w:p w14:paraId="2FC1B5CC">
      <w:pPr>
        <w:spacing w:line="580" w:lineRule="exact"/>
        <w:ind w:firstLine="640"/>
        <w:jc w:val="both"/>
      </w:pPr>
      <w:r>
        <w:rPr>
          <w:rFonts w:ascii="仿宋_GB2312" w:hAnsi="仿宋_GB2312" w:eastAsia="仿宋_GB2312"/>
          <w:b w:val="0"/>
          <w:sz w:val="32"/>
        </w:rPr>
        <w:t>4.教育支出(类)普通教育(款)其他普通教育支出(项):支出决算数为1,488.21万元，比上年决算增加1,488.21万元，增长100.00%,主要原因是：本单位为新增单位，无上年数据，故增长100%。</w:t>
      </w:r>
    </w:p>
    <w:p w14:paraId="51E372FC">
      <w:pPr>
        <w:spacing w:line="640" w:lineRule="exact"/>
        <w:ind w:firstLine="640"/>
        <w:jc w:val="both"/>
        <w:outlineLvl w:val="2"/>
      </w:pPr>
      <w:r>
        <w:rPr>
          <w:rFonts w:ascii="黑体" w:hAnsi="黑体" w:eastAsia="黑体"/>
          <w:sz w:val="32"/>
        </w:rPr>
        <w:t>六、一般公共预算财政拨款基本支出决算情况说明</w:t>
      </w:r>
    </w:p>
    <w:p w14:paraId="6EEA0456">
      <w:pPr>
        <w:spacing w:line="580" w:lineRule="exact"/>
        <w:ind w:firstLine="640"/>
        <w:jc w:val="both"/>
      </w:pPr>
      <w:r>
        <w:rPr>
          <w:rFonts w:ascii="仿宋_GB2312" w:hAnsi="仿宋_GB2312" w:eastAsia="仿宋_GB2312"/>
          <w:b w:val="0"/>
          <w:sz w:val="32"/>
        </w:rPr>
        <w:t>2024年度一般公共预算财政拨款基本支出0.00万元，其中：</w:t>
      </w:r>
      <w:r>
        <w:rPr>
          <w:rFonts w:ascii="仿宋_GB2312" w:hAnsi="仿宋_GB2312" w:eastAsia="仿宋_GB2312"/>
          <w:b/>
          <w:sz w:val="32"/>
        </w:rPr>
        <w:t>人员经费0.00万元，</w:t>
      </w:r>
      <w:r>
        <w:rPr>
          <w:rFonts w:ascii="仿宋_GB2312" w:hAnsi="仿宋_GB2312" w:eastAsia="仿宋_GB2312"/>
          <w:b w:val="0"/>
          <w:sz w:val="32"/>
        </w:rPr>
        <w:t>包括：无人员经费。</w:t>
      </w:r>
    </w:p>
    <w:p w14:paraId="7ED88F0A">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23F3BE2E">
      <w:pPr>
        <w:spacing w:line="640" w:lineRule="exact"/>
        <w:ind w:firstLine="640"/>
        <w:jc w:val="both"/>
        <w:outlineLvl w:val="2"/>
      </w:pPr>
      <w:r>
        <w:rPr>
          <w:rFonts w:ascii="黑体" w:hAnsi="黑体" w:eastAsia="黑体"/>
          <w:sz w:val="32"/>
        </w:rPr>
        <w:t>七、政府性基金预算财政拨款收入支出决算情况说明</w:t>
      </w:r>
    </w:p>
    <w:p w14:paraId="69FFC84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1EF86A7">
      <w:pPr>
        <w:spacing w:line="640" w:lineRule="exact"/>
        <w:ind w:firstLine="640"/>
        <w:jc w:val="both"/>
        <w:outlineLvl w:val="2"/>
      </w:pPr>
      <w:r>
        <w:rPr>
          <w:rFonts w:ascii="黑体" w:hAnsi="黑体" w:eastAsia="黑体"/>
          <w:sz w:val="32"/>
        </w:rPr>
        <w:t>八、国有资本经营预算财政拨款收入支出决算情况说明</w:t>
      </w:r>
    </w:p>
    <w:p w14:paraId="61441FE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9F23913">
      <w:pPr>
        <w:spacing w:line="640" w:lineRule="exact"/>
        <w:ind w:firstLine="640"/>
        <w:jc w:val="both"/>
        <w:outlineLvl w:val="2"/>
      </w:pPr>
      <w:r>
        <w:rPr>
          <w:rFonts w:ascii="黑体" w:hAnsi="黑体" w:eastAsia="黑体"/>
          <w:sz w:val="32"/>
        </w:rPr>
        <w:t>九、财政拨款“三公”经费支出决算情况说明</w:t>
      </w:r>
    </w:p>
    <w:p w14:paraId="495D5070">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2024年未安排财政拨款“三公”经费支出。其中：因公出国（境）费支出0.00万元，占0.00%，比上年增加0.00万元，增长0.00%，主要原因是：2024年未安排因公出国（境）费支出。公务用车购置及运行维护费支出0.00万元，占0.00%，比上年增加0.00万元，增长0.00%，主要原因是：2024年未安排公务用车购置及运行维护费支出。公务接待费支出0.00万元，占0.00%，比上年增加0.00万元，增长0.00%，主要原因是：2024年未安排公务接待费支出。</w:t>
      </w:r>
    </w:p>
    <w:p w14:paraId="3D6A5BE4">
      <w:pPr>
        <w:spacing w:line="580" w:lineRule="exact"/>
        <w:ind w:firstLine="640"/>
        <w:jc w:val="both"/>
      </w:pPr>
      <w:r>
        <w:rPr>
          <w:rFonts w:ascii="仿宋_GB2312" w:hAnsi="仿宋_GB2312" w:eastAsia="仿宋_GB2312"/>
          <w:b/>
          <w:sz w:val="32"/>
        </w:rPr>
        <w:t>具体情况如下：</w:t>
      </w:r>
    </w:p>
    <w:p w14:paraId="7AC5C32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30217C1">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B9D6AA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E2451E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856613A">
      <w:pPr>
        <w:spacing w:line="640" w:lineRule="exact"/>
        <w:ind w:firstLine="640"/>
        <w:jc w:val="both"/>
        <w:outlineLvl w:val="2"/>
      </w:pPr>
      <w:r>
        <w:rPr>
          <w:rFonts w:ascii="黑体" w:hAnsi="黑体" w:eastAsia="黑体"/>
          <w:sz w:val="32"/>
        </w:rPr>
        <w:t>十、其他重要事项的情况说明</w:t>
      </w:r>
    </w:p>
    <w:p w14:paraId="03480EC7">
      <w:pPr>
        <w:spacing w:line="640" w:lineRule="exact"/>
        <w:ind w:firstLine="640"/>
        <w:jc w:val="both"/>
        <w:outlineLvl w:val="3"/>
      </w:pPr>
      <w:r>
        <w:rPr>
          <w:rFonts w:ascii="楷体_GB2312" w:hAnsi="楷体_GB2312" w:eastAsia="楷体_GB2312"/>
          <w:b/>
          <w:sz w:val="32"/>
        </w:rPr>
        <w:t>（一）机关运行经费及公用经费支出情况</w:t>
      </w:r>
    </w:p>
    <w:p w14:paraId="3211F988">
      <w:pPr>
        <w:spacing w:line="580" w:lineRule="exact"/>
        <w:ind w:firstLine="640"/>
        <w:jc w:val="both"/>
      </w:pPr>
      <w:r>
        <w:rPr>
          <w:rFonts w:ascii="仿宋_GB2312" w:hAnsi="仿宋_GB2312" w:eastAsia="仿宋_GB2312"/>
          <w:b w:val="0"/>
          <w:sz w:val="32"/>
        </w:rPr>
        <w:t>2024年度阿图什市教育发展中心（事业单位）公用经费支出0.00万元，比上年增加0.00万元，增长0.00%，主要原因是：2024年未安排公用经费支出。</w:t>
      </w:r>
    </w:p>
    <w:p w14:paraId="5F15B67E">
      <w:pPr>
        <w:spacing w:line="640" w:lineRule="exact"/>
        <w:ind w:firstLine="640"/>
        <w:jc w:val="both"/>
        <w:outlineLvl w:val="3"/>
      </w:pPr>
      <w:r>
        <w:rPr>
          <w:rFonts w:ascii="楷体_GB2312" w:hAnsi="楷体_GB2312" w:eastAsia="楷体_GB2312"/>
          <w:b/>
          <w:sz w:val="32"/>
        </w:rPr>
        <w:t>（二）政府采购情况</w:t>
      </w:r>
    </w:p>
    <w:p w14:paraId="0A70F29C">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35B68A3D">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4F48398F">
      <w:pPr>
        <w:spacing w:line="640" w:lineRule="exact"/>
        <w:ind w:firstLine="640"/>
        <w:jc w:val="both"/>
        <w:outlineLvl w:val="3"/>
      </w:pPr>
      <w:r>
        <w:rPr>
          <w:rFonts w:ascii="楷体_GB2312" w:hAnsi="楷体_GB2312" w:eastAsia="楷体_GB2312"/>
          <w:b/>
          <w:sz w:val="32"/>
        </w:rPr>
        <w:t>（三）国有资产占用情况说明</w:t>
      </w:r>
    </w:p>
    <w:p w14:paraId="69C62BE1">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459697B">
      <w:pPr>
        <w:spacing w:line="640" w:lineRule="exact"/>
        <w:ind w:firstLine="640"/>
        <w:jc w:val="both"/>
        <w:outlineLvl w:val="2"/>
      </w:pPr>
      <w:r>
        <w:rPr>
          <w:rFonts w:ascii="黑体" w:hAnsi="黑体" w:eastAsia="黑体"/>
          <w:sz w:val="32"/>
        </w:rPr>
        <w:t>十一、预算绩效的情况说明</w:t>
      </w:r>
    </w:p>
    <w:p w14:paraId="6E983093">
      <w:pPr>
        <w:spacing w:line="580" w:lineRule="exact"/>
        <w:ind w:firstLine="640"/>
        <w:jc w:val="both"/>
      </w:pPr>
      <w:r>
        <w:rPr>
          <w:rFonts w:ascii="仿宋_GB2312" w:hAnsi="仿宋_GB2312" w:eastAsia="仿宋_GB2312"/>
          <w:b w:val="0"/>
          <w:sz w:val="32"/>
        </w:rPr>
        <w:t>根据预算绩效管理要求，本单位2024年度预算绩效评价项目0个，全年预算数0.00万元，全年执行数0.00万元。预算绩效管理取得的成效：本单位无项目支出绩效自评表。发现的问题及原因：本单位无项目支出绩效自评表。下一步改进措施：本单位无项目支出绩效自评表。</w:t>
      </w:r>
    </w:p>
    <w:p w14:paraId="62CEE739">
      <w:r>
        <w:br w:type="page"/>
      </w:r>
    </w:p>
    <w:p w14:paraId="07D6AD5B">
      <w:pPr>
        <w:spacing w:line="640" w:lineRule="exact"/>
        <w:ind w:firstLine="640"/>
        <w:jc w:val="both"/>
        <w:outlineLvl w:val="2"/>
      </w:pPr>
      <w:r>
        <w:rPr>
          <w:rFonts w:ascii="黑体" w:hAnsi="黑体" w:eastAsia="黑体"/>
          <w:sz w:val="32"/>
        </w:rPr>
        <w:t>十二、其他需说明的事项</w:t>
      </w:r>
    </w:p>
    <w:p w14:paraId="49185BB1">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758AF09D">
      <w:pPr>
        <w:spacing w:line="580" w:lineRule="exact"/>
        <w:ind w:firstLine="640"/>
        <w:jc w:val="both"/>
      </w:pPr>
      <w:r>
        <w:rPr>
          <w:rFonts w:hint="eastAsia" w:ascii="仿宋_GB2312" w:hAnsi="仿宋_GB2312" w:eastAsia="仿宋_GB2312"/>
          <w:b w:val="0"/>
          <w:sz w:val="32"/>
        </w:rPr>
        <w:t>因2024年机构改革，阿图什市教育发展中心年中从阿图什市教育局分离出来独立核算，因此本单位无整体支出绩效自评表</w:t>
      </w:r>
      <w:bookmarkStart w:id="0" w:name="_GoBack"/>
      <w:bookmarkEnd w:id="0"/>
      <w:r>
        <w:rPr>
          <w:rFonts w:ascii="仿宋_GB2312" w:hAnsi="仿宋_GB2312" w:eastAsia="仿宋_GB2312"/>
          <w:b w:val="0"/>
          <w:sz w:val="32"/>
        </w:rPr>
        <w:t>。</w:t>
      </w:r>
    </w:p>
    <w:p w14:paraId="3D113E5B">
      <w:r>
        <w:br w:type="page"/>
      </w:r>
    </w:p>
    <w:p w14:paraId="3586D180">
      <w:pPr>
        <w:spacing w:line="240" w:lineRule="auto"/>
        <w:jc w:val="center"/>
        <w:outlineLvl w:val="1"/>
      </w:pPr>
      <w:r>
        <w:rPr>
          <w:rFonts w:ascii="黑体" w:hAnsi="黑体" w:eastAsia="黑体"/>
          <w:sz w:val="32"/>
        </w:rPr>
        <w:t>第三部分 专业名词解释</w:t>
      </w:r>
    </w:p>
    <w:p w14:paraId="41BFAC3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7F166F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0AA24F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BFF37C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9AD51A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883A53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199846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8B6679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196807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C62137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3EBBCE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E06997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75C0C7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81F20B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F007242">
      <w:r>
        <w:br w:type="page"/>
      </w:r>
    </w:p>
    <w:p w14:paraId="1C602097">
      <w:pPr>
        <w:spacing w:line="240" w:lineRule="auto"/>
        <w:jc w:val="center"/>
        <w:outlineLvl w:val="1"/>
      </w:pPr>
      <w:r>
        <w:rPr>
          <w:rFonts w:ascii="黑体" w:hAnsi="黑体" w:eastAsia="黑体"/>
          <w:sz w:val="32"/>
        </w:rPr>
        <w:t>第四部分 部门决算报表（见附表）</w:t>
      </w:r>
    </w:p>
    <w:p w14:paraId="7FD0250C">
      <w:pPr>
        <w:spacing w:line="240" w:lineRule="auto"/>
        <w:ind w:firstLine="640"/>
        <w:jc w:val="both"/>
      </w:pPr>
      <w:r>
        <w:rPr>
          <w:rFonts w:ascii="仿宋_GB2312" w:hAnsi="仿宋_GB2312" w:eastAsia="仿宋_GB2312"/>
          <w:b w:val="0"/>
          <w:sz w:val="32"/>
        </w:rPr>
        <w:t>一、《收入支出决算总表》</w:t>
      </w:r>
    </w:p>
    <w:p w14:paraId="73B06EB2">
      <w:pPr>
        <w:spacing w:line="240" w:lineRule="auto"/>
        <w:ind w:firstLine="640"/>
        <w:jc w:val="both"/>
      </w:pPr>
      <w:r>
        <w:rPr>
          <w:rFonts w:ascii="仿宋_GB2312" w:hAnsi="仿宋_GB2312" w:eastAsia="仿宋_GB2312"/>
          <w:b w:val="0"/>
          <w:sz w:val="32"/>
        </w:rPr>
        <w:t>二、《收入决算表》</w:t>
      </w:r>
    </w:p>
    <w:p w14:paraId="3E226574">
      <w:pPr>
        <w:spacing w:line="240" w:lineRule="auto"/>
        <w:ind w:firstLine="640"/>
        <w:jc w:val="both"/>
      </w:pPr>
      <w:r>
        <w:rPr>
          <w:rFonts w:ascii="仿宋_GB2312" w:hAnsi="仿宋_GB2312" w:eastAsia="仿宋_GB2312"/>
          <w:b w:val="0"/>
          <w:sz w:val="32"/>
        </w:rPr>
        <w:t>三、《支出决算表》</w:t>
      </w:r>
    </w:p>
    <w:p w14:paraId="5C4024BC">
      <w:pPr>
        <w:spacing w:line="240" w:lineRule="auto"/>
        <w:ind w:firstLine="640"/>
        <w:jc w:val="both"/>
      </w:pPr>
      <w:r>
        <w:rPr>
          <w:rFonts w:ascii="仿宋_GB2312" w:hAnsi="仿宋_GB2312" w:eastAsia="仿宋_GB2312"/>
          <w:b w:val="0"/>
          <w:sz w:val="32"/>
        </w:rPr>
        <w:t>四、《财政拨款收入支出决算总表》</w:t>
      </w:r>
    </w:p>
    <w:p w14:paraId="5A05892E">
      <w:pPr>
        <w:spacing w:line="240" w:lineRule="auto"/>
        <w:ind w:firstLine="640"/>
        <w:jc w:val="both"/>
      </w:pPr>
      <w:r>
        <w:rPr>
          <w:rFonts w:ascii="仿宋_GB2312" w:hAnsi="仿宋_GB2312" w:eastAsia="仿宋_GB2312"/>
          <w:b w:val="0"/>
          <w:sz w:val="32"/>
        </w:rPr>
        <w:t>五、《一般公共预算财政拨款支出决算表》</w:t>
      </w:r>
    </w:p>
    <w:p w14:paraId="3BEEB818">
      <w:pPr>
        <w:spacing w:line="240" w:lineRule="auto"/>
        <w:ind w:firstLine="640"/>
        <w:jc w:val="both"/>
      </w:pPr>
      <w:r>
        <w:rPr>
          <w:rFonts w:ascii="仿宋_GB2312" w:hAnsi="仿宋_GB2312" w:eastAsia="仿宋_GB2312"/>
          <w:b w:val="0"/>
          <w:sz w:val="32"/>
        </w:rPr>
        <w:t>六、《一般公共预算财政拨款基本支出决算表》</w:t>
      </w:r>
    </w:p>
    <w:p w14:paraId="1D8DA125">
      <w:pPr>
        <w:spacing w:line="240" w:lineRule="auto"/>
        <w:ind w:firstLine="640"/>
        <w:jc w:val="both"/>
      </w:pPr>
      <w:r>
        <w:rPr>
          <w:rFonts w:ascii="仿宋_GB2312" w:hAnsi="仿宋_GB2312" w:eastAsia="仿宋_GB2312"/>
          <w:b w:val="0"/>
          <w:sz w:val="32"/>
        </w:rPr>
        <w:t>七、《政府性基金预算财政拨款收入支出决算表》</w:t>
      </w:r>
    </w:p>
    <w:p w14:paraId="143EC499">
      <w:pPr>
        <w:spacing w:line="240" w:lineRule="auto"/>
        <w:ind w:firstLine="640"/>
        <w:jc w:val="both"/>
      </w:pPr>
      <w:r>
        <w:rPr>
          <w:rFonts w:ascii="仿宋_GB2312" w:hAnsi="仿宋_GB2312" w:eastAsia="仿宋_GB2312"/>
          <w:b w:val="0"/>
          <w:sz w:val="32"/>
        </w:rPr>
        <w:t>八、《国有资本经营预算财政拨款收入支出决算表》</w:t>
      </w:r>
    </w:p>
    <w:p w14:paraId="4782FD72">
      <w:pPr>
        <w:spacing w:line="240" w:lineRule="auto"/>
        <w:ind w:firstLine="640"/>
        <w:jc w:val="both"/>
      </w:pPr>
      <w:r>
        <w:rPr>
          <w:rFonts w:ascii="仿宋_GB2312" w:hAnsi="仿宋_GB2312" w:eastAsia="仿宋_GB2312"/>
          <w:b w:val="0"/>
          <w:sz w:val="32"/>
        </w:rPr>
        <w:t>九、《财政拨款“三公”经费支出决算表》</w:t>
      </w:r>
    </w:p>
    <w:p w14:paraId="57A60A3C">
      <w:pPr>
        <w:spacing w:line="240" w:lineRule="auto"/>
        <w:ind w:firstLine="640"/>
        <w:jc w:val="both"/>
      </w:pPr>
    </w:p>
    <w:p w14:paraId="6FC9CD5E">
      <w:pPr>
        <w:spacing w:line="240" w:lineRule="auto"/>
        <w:ind w:firstLine="640"/>
        <w:jc w:val="both"/>
      </w:pPr>
    </w:p>
    <w:p w14:paraId="3E4328D7">
      <w:pPr>
        <w:spacing w:line="240" w:lineRule="auto"/>
        <w:ind w:firstLine="640"/>
        <w:jc w:val="both"/>
      </w:pPr>
    </w:p>
    <w:p w14:paraId="6C692B41">
      <w:pPr>
        <w:spacing w:line="240" w:lineRule="auto"/>
        <w:ind w:firstLine="640"/>
        <w:jc w:val="both"/>
      </w:pPr>
    </w:p>
    <w:p w14:paraId="45A23F5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5B5152A"/>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467E1E"/>
    <w:rsid w:val="56E07045"/>
    <w:rsid w:val="583059FA"/>
    <w:rsid w:val="587E6212"/>
    <w:rsid w:val="5AFC6609"/>
    <w:rsid w:val="5FA17648"/>
    <w:rsid w:val="5FD320BD"/>
    <w:rsid w:val="60DE4D57"/>
    <w:rsid w:val="613409CB"/>
    <w:rsid w:val="61A46A97"/>
    <w:rsid w:val="62DD7D21"/>
    <w:rsid w:val="65D97752"/>
    <w:rsid w:val="664C500C"/>
    <w:rsid w:val="664D0D97"/>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4408</Words>
  <Characters>5034</Characters>
  <Lines>0</Lines>
  <Paragraphs>0</Paragraphs>
  <TotalTime>7</TotalTime>
  <ScaleCrop>false</ScaleCrop>
  <LinksUpToDate>false</LinksUpToDate>
  <CharactersWithSpaces>5044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2025-09-09T09:47:52Z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