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负责民政、教育、社会保障、社会医保、医疗救助、退役军人事业等方面的服务工作；协助乡政府制定民政、教育、社会保障、社会医保、医疗救助、退役军人等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阿图什市吐古买提乡社会保障（民政）服务中心（退役军人服务站）2024年度，实有人数8人，其中：在职人员8人，增加2人；离休人员0人，增加0人；退休人员0人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阿图什市吐古买提乡社会保障（民政）服务中心（退役军人服务站）无下属预算单位，下设2个科室，分别是：民政室、退役军人服务站。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2024年度收入总计59.06万元，</w:t>
      </w:r>
      <w:r>
        <w:rPr>
          <w:rFonts w:ascii="仿宋_GB2312" w:hAnsi="仿宋_GB2312" w:eastAsia="仿宋_GB2312"/>
          <w:b w:val="0"/>
          <w:sz w:val="32"/>
        </w:rPr>
        <w:t>其中：本年收入合计59.06万元，使用非财政拨款结余（含专用结余）0.00万元，年初结转和结余0.00万元。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2024年度支出总计59.06万元，</w:t>
      </w:r>
      <w:r>
        <w:rPr>
          <w:rFonts w:ascii="仿宋_GB2312" w:hAnsi="仿宋_GB2312" w:eastAsia="仿宋_GB2312"/>
          <w:b w:val="0"/>
          <w:sz w:val="32"/>
        </w:rPr>
        <w:t>其中：本年支出合计59.06万元，结余分配0.00万元，年末结转和结余0.00万元。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收入支出总体与上年相比，减少24.39万元，下降29.23%，主要原因是：本单位本年度机构制度改革以后人员重新定岗定责划分其他科室人员减少，相应经费减少。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本年收入59.06万元，</w:t>
      </w:r>
      <w:r>
        <w:rPr>
          <w:rFonts w:ascii="仿宋_GB2312" w:hAnsi="仿宋_GB2312" w:eastAsia="仿宋_GB2312"/>
          <w:b w:val="0"/>
          <w:sz w:val="32"/>
        </w:rPr>
        <w:t>其中：财政拨款收入59.06万元，占100.00%；上级补助收入0.00万元，占0.00%；事业收入0.00万元，占0.00%；经营收入0.00万元，占0.00%；附属单位上缴收入0.00万元，占0.00%；其他收入0.00万元，占0.00%。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本年支出59.06万元，</w:t>
      </w:r>
      <w:r>
        <w:rPr>
          <w:rFonts w:ascii="仿宋_GB2312" w:hAnsi="仿宋_GB2312" w:eastAsia="仿宋_GB2312"/>
          <w:b w:val="0"/>
          <w:sz w:val="32"/>
        </w:rPr>
        <w:t>其中：基本支出59.06万元，占100.00%；项目支出0.00万元，占0.00%；上缴上级支出0.00万元，占0.00%；经营支出0.00万元，占0.00%；对附属单位补助支出0.00万元，占0.00%。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2024年度财政拨款收入总计59.06万元，</w:t>
      </w:r>
      <w:r>
        <w:rPr>
          <w:rFonts w:ascii="仿宋_GB2312" w:hAnsi="仿宋_GB2312" w:eastAsia="仿宋_GB2312"/>
          <w:b w:val="0"/>
          <w:sz w:val="32"/>
        </w:rPr>
        <w:t>其中：年初财政拨款结转和结余0.00万元，本年财政拨款收入59.06万元。</w:t>
      </w:r>
      <w:r>
        <w:rPr>
          <w:rFonts w:ascii="仿宋_GB2312" w:hAnsi="仿宋_GB2312" w:eastAsia="仿宋_GB2312"/>
          <w:b/>
          <w:sz w:val="32"/>
        </w:rPr>
        <w:t>财政拨款支出总计59.06万元，</w:t>
      </w:r>
      <w:r>
        <w:rPr>
          <w:rFonts w:ascii="仿宋_GB2312" w:hAnsi="仿宋_GB2312" w:eastAsia="仿宋_GB2312"/>
          <w:b w:val="0"/>
          <w:sz w:val="32"/>
        </w:rPr>
        <w:t>其中：年末财政拨款结转和结余0.00万元，本年财政拨款支出59.06万元。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减少24.39万元，下降29.23%，主要原因是：本单位本年度机构制度改革以后人员重新定岗定责划分其他科室人员减少，相应经费减少。</w:t>
      </w:r>
      <w:r>
        <w:rPr>
          <w:rFonts w:ascii="仿宋_GB2312" w:hAnsi="仿宋_GB2312" w:eastAsia="仿宋_GB2312"/>
          <w:b/>
          <w:sz w:val="32"/>
        </w:rPr>
        <w:t>与年初预算相比，</w:t>
      </w:r>
      <w:r>
        <w:rPr>
          <w:rFonts w:ascii="仿宋_GB2312" w:hAnsi="仿宋_GB2312" w:eastAsia="仿宋_GB2312"/>
          <w:b w:val="0"/>
          <w:sz w:val="32"/>
        </w:rPr>
        <w:t>年初预算数87.41万元，决算数59.06万元，预决算差异率-32.43%，主要原因是：本单位本年度机构制度改革以后人员重新定岗定责划分其他科室人员减少，相应经费调减。</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2024年度一般公共预算财政拨款支出59.06万元，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减少24.39万元，下降29.23%，主要原因是：本单位本年度机构制度改革以后人员重新定岗定责划分其他科室人员减少，相应经费减少。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年初预算数87.41万元，决算数59.06万元，预决算差异率-32.43%，主要原因是：本单位本年度机构制度改革以后人员重新定岗定责划分其他科室人员减少，相应经费调减。</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1.社会保障和就业支出(类)52.65万元</w:t>
      </w:r>
      <w:r>
        <w:rPr>
          <w:rFonts w:hint="eastAsia" w:ascii="仿宋_GB2312" w:hAnsi="仿宋_GB2312" w:eastAsia="仿宋_GB2312"/>
          <w:b w:val="0"/>
          <w:sz w:val="32"/>
          <w:lang w:eastAsia="zh-CN"/>
        </w:rPr>
        <w:t>，</w:t>
      </w:r>
      <w:r>
        <w:rPr>
          <w:rFonts w:ascii="仿宋_GB2312" w:hAnsi="仿宋_GB2312" w:eastAsia="仿宋_GB2312"/>
          <w:b w:val="0"/>
          <w:sz w:val="32"/>
        </w:rPr>
        <w:t>占89.15%。</w:t>
      </w:r>
    </w:p>
    <w:p>
      <w:pPr>
        <w:spacing w:line="580" w:lineRule="exact"/>
        <w:ind w:firstLine="640"/>
        <w:jc w:val="both"/>
      </w:pPr>
      <w:r>
        <w:rPr>
          <w:rFonts w:ascii="仿宋_GB2312" w:hAnsi="仿宋_GB2312" w:eastAsia="仿宋_GB2312"/>
          <w:b w:val="0"/>
          <w:sz w:val="32"/>
        </w:rPr>
        <w:t>2.卫生健康支出(类)1.83万元</w:t>
      </w:r>
      <w:r>
        <w:rPr>
          <w:rFonts w:hint="eastAsia" w:ascii="仿宋_GB2312" w:hAnsi="仿宋_GB2312" w:eastAsia="仿宋_GB2312"/>
          <w:b w:val="0"/>
          <w:sz w:val="32"/>
          <w:lang w:eastAsia="zh-CN"/>
        </w:rPr>
        <w:t>，</w:t>
      </w:r>
      <w:r>
        <w:rPr>
          <w:rFonts w:ascii="仿宋_GB2312" w:hAnsi="仿宋_GB2312" w:eastAsia="仿宋_GB2312"/>
          <w:b w:val="0"/>
          <w:sz w:val="32"/>
        </w:rPr>
        <w:t>占3.10%。</w:t>
      </w:r>
    </w:p>
    <w:p>
      <w:pPr>
        <w:spacing w:line="580" w:lineRule="exact"/>
        <w:ind w:firstLine="640"/>
        <w:jc w:val="both"/>
      </w:pPr>
      <w:r>
        <w:rPr>
          <w:rFonts w:ascii="仿宋_GB2312" w:hAnsi="仿宋_GB2312" w:eastAsia="仿宋_GB2312"/>
          <w:b w:val="0"/>
          <w:sz w:val="32"/>
        </w:rPr>
        <w:t>3.住房保障支出(类)4.58万元</w:t>
      </w:r>
      <w:r>
        <w:rPr>
          <w:rFonts w:hint="eastAsia" w:ascii="仿宋_GB2312" w:hAnsi="仿宋_GB2312" w:eastAsia="仿宋_GB2312"/>
          <w:b w:val="0"/>
          <w:sz w:val="32"/>
          <w:lang w:eastAsia="zh-CN"/>
        </w:rPr>
        <w:t>，</w:t>
      </w:r>
      <w:r>
        <w:rPr>
          <w:rFonts w:ascii="仿宋_GB2312" w:hAnsi="仿宋_GB2312" w:eastAsia="仿宋_GB2312"/>
          <w:b w:val="0"/>
          <w:sz w:val="32"/>
        </w:rPr>
        <w:t>占7.75%。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支出决算数为47.05万</w:t>
      </w:r>
      <w:bookmarkStart w:id="0" w:name="_GoBack"/>
      <w:bookmarkEnd w:id="0"/>
      <w:r>
        <w:rPr>
          <w:rFonts w:ascii="仿宋_GB2312" w:hAnsi="仿宋_GB2312" w:eastAsia="仿宋_GB2312"/>
          <w:b w:val="0"/>
          <w:sz w:val="32"/>
        </w:rPr>
        <w:t>元，比上年决算减少20.07万元，下降29.90%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主要原因是：本年在职人员调入调出，人员职级不同，工资基数不同，导致人员经费较上年减少；本单位本年度机构制度改革，单位部分经费减少。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支出决算数为5.59万元，比上年决算减少2.27万元，下降28.88%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支出决算数为1.83万元，比上年决算减少0.32万元，下降14.88%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支出决算数为4.58万元，比上年决算减少1.74万元，下降27.53%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2024年度一般公共预算财政拨款基本支出59.06万元，其中：</w:t>
      </w:r>
      <w:r>
        <w:rPr>
          <w:rFonts w:ascii="仿宋_GB2312" w:hAnsi="仿宋_GB2312" w:eastAsia="仿宋_GB2312"/>
          <w:b/>
          <w:sz w:val="32"/>
        </w:rPr>
        <w:t>人员经费58.31万元，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公用经费0.75万元，</w:t>
      </w:r>
      <w:r>
        <w:rPr>
          <w:rFonts w:ascii="仿宋_GB2312" w:hAnsi="仿宋_GB2312" w:eastAsia="仿宋_GB2312"/>
          <w:b w:val="0"/>
          <w:sz w:val="32"/>
        </w:rPr>
        <w:t>包括：电费。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社会保障（民政）服务中心（退役军人服务站）（事业单位）公用经费支出0.75万元，比上年增加0.00万元，增长0.00%，主要原因是：本单位无重大任务增加，公用经费与上年支出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val="en-US" w:eastAsia="zh-CN"/>
        </w:rPr>
        <w:t>本年本</w:t>
      </w:r>
      <w:r>
        <w:rPr>
          <w:rFonts w:ascii="仿宋_GB2312" w:hAnsi="仿宋_GB2312" w:eastAsia="仿宋_GB2312"/>
          <w:b w:val="0"/>
          <w:sz w:val="32"/>
        </w:rPr>
        <w:t>单位无预算绩效项目。发现的问题及原因：</w:t>
      </w:r>
      <w:r>
        <w:rPr>
          <w:rFonts w:hint="eastAsia" w:ascii="仿宋_GB2312" w:hAnsi="仿宋_GB2312" w:eastAsia="仿宋_GB2312"/>
          <w:b w:val="0"/>
          <w:sz w:val="32"/>
          <w:lang w:val="en-US" w:eastAsia="zh-CN"/>
        </w:rPr>
        <w:t>本年本</w:t>
      </w:r>
      <w:r>
        <w:rPr>
          <w:rFonts w:ascii="仿宋_GB2312" w:hAnsi="仿宋_GB2312" w:eastAsia="仿宋_GB2312"/>
          <w:b w:val="0"/>
          <w:sz w:val="32"/>
        </w:rPr>
        <w:t>单位无预算绩效项目。下一步改进措施：</w:t>
      </w:r>
      <w:r>
        <w:rPr>
          <w:rFonts w:hint="eastAsia" w:ascii="仿宋_GB2312" w:hAnsi="仿宋_GB2312" w:eastAsia="仿宋_GB2312"/>
          <w:b w:val="0"/>
          <w:sz w:val="32"/>
          <w:lang w:val="en-US" w:eastAsia="zh-CN"/>
        </w:rPr>
        <w:t>本年本</w:t>
      </w:r>
      <w:r>
        <w:rPr>
          <w:rFonts w:ascii="仿宋_GB2312" w:hAnsi="仿宋_GB2312" w:eastAsia="仿宋_GB2312"/>
          <w:b w:val="0"/>
          <w:sz w:val="32"/>
        </w:rPr>
        <w:t>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EF2EE5-E79F-4EED-AFC1-5DF41B069F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7207C41-33E3-4A57-B722-302D7C60E435}"/>
  </w:font>
  <w:font w:name="仿宋_GB2312">
    <w:panose1 w:val="02010609030101010101"/>
    <w:charset w:val="86"/>
    <w:family w:val="modern"/>
    <w:pitch w:val="default"/>
    <w:sig w:usb0="00000001" w:usb1="080E0000" w:usb2="00000000" w:usb3="00000000" w:csb0="00040000" w:csb1="00000000"/>
    <w:embedRegular r:id="rId3" w:fontKey="{1961BED1-4B13-4E2A-8976-98298B7CB454}"/>
  </w:font>
  <w:font w:name="楷体_GB2312">
    <w:panose1 w:val="02010609030101010101"/>
    <w:charset w:val="86"/>
    <w:family w:val="auto"/>
    <w:pitch w:val="default"/>
    <w:sig w:usb0="00000001" w:usb1="080E0000" w:usb2="00000000" w:usb3="00000000" w:csb0="00040000" w:csb1="00000000"/>
    <w:embedRegular r:id="rId4" w:fontKey="{C3E66C1D-02AA-4998-AA8C-5AAC93390F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BC6745"/>
    <w:rsid w:val="29116777"/>
    <w:rsid w:val="2A053397"/>
    <w:rsid w:val="2A444FB1"/>
    <w:rsid w:val="2A6064E2"/>
    <w:rsid w:val="2C1965E9"/>
    <w:rsid w:val="2D1136DF"/>
    <w:rsid w:val="2DAE0E44"/>
    <w:rsid w:val="2FD27414"/>
    <w:rsid w:val="313F1D52"/>
    <w:rsid w:val="318029AB"/>
    <w:rsid w:val="31C63837"/>
    <w:rsid w:val="326F0A17"/>
    <w:rsid w:val="3277581B"/>
    <w:rsid w:val="37C55E9D"/>
    <w:rsid w:val="38006E2C"/>
    <w:rsid w:val="3914510A"/>
    <w:rsid w:val="3B1220C9"/>
    <w:rsid w:val="3D5275AC"/>
    <w:rsid w:val="3EA7725F"/>
    <w:rsid w:val="3EC014A1"/>
    <w:rsid w:val="40834692"/>
    <w:rsid w:val="423A32B2"/>
    <w:rsid w:val="423C0CB4"/>
    <w:rsid w:val="427B5743"/>
    <w:rsid w:val="42E64542"/>
    <w:rsid w:val="43BE1B42"/>
    <w:rsid w:val="464B7E04"/>
    <w:rsid w:val="464F7E64"/>
    <w:rsid w:val="46901EEE"/>
    <w:rsid w:val="469C74D2"/>
    <w:rsid w:val="47445515"/>
    <w:rsid w:val="4B4C0111"/>
    <w:rsid w:val="4BB23021"/>
    <w:rsid w:val="4F3F074E"/>
    <w:rsid w:val="50DB5F45"/>
    <w:rsid w:val="52F92565"/>
    <w:rsid w:val="543D17CB"/>
    <w:rsid w:val="55DA564E"/>
    <w:rsid w:val="5601374F"/>
    <w:rsid w:val="56E07045"/>
    <w:rsid w:val="583059FA"/>
    <w:rsid w:val="587E6212"/>
    <w:rsid w:val="5AFC6609"/>
    <w:rsid w:val="5D2A34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4868</Words>
  <Characters>5408</Characters>
  <Lines>0</Lines>
  <Paragraphs>0</Paragraphs>
  <TotalTime>4</TotalTime>
  <ScaleCrop>false</ScaleCrop>
  <LinksUpToDate>false</LinksUpToDate>
  <CharactersWithSpaces>5418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2025-09-17T12:09:18Z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