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阿图什市幸福街道办事处社区卫生服务中心2024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8C85934">
      <w:r>
        <w:br w:type="page"/>
      </w:r>
    </w:p>
    <w:p w14:paraId="6B0AA731">
      <w:pPr>
        <w:spacing w:line="640" w:lineRule="exact"/>
        <w:jc w:val="center"/>
        <w:outlineLvl w:val="1"/>
      </w:pPr>
      <w:r>
        <w:rPr>
          <w:rFonts w:ascii="黑体" w:hAnsi="黑体" w:eastAsia="黑体"/>
          <w:sz w:val="32"/>
        </w:rPr>
        <w:t>第一部分 单位概况</w:t>
      </w:r>
    </w:p>
    <w:p w14:paraId="1511B8C0">
      <w:pPr>
        <w:spacing w:line="640" w:lineRule="exact"/>
        <w:ind w:firstLine="640"/>
        <w:jc w:val="both"/>
        <w:outlineLvl w:val="2"/>
      </w:pPr>
      <w:r>
        <w:rPr>
          <w:rFonts w:ascii="黑体" w:hAnsi="黑体" w:eastAsia="黑体"/>
          <w:sz w:val="32"/>
        </w:rPr>
        <w:t>一、主要职能</w:t>
      </w:r>
    </w:p>
    <w:p w14:paraId="18CDCEF8">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为全民人员康复服务日常工作。</w:t>
      </w:r>
    </w:p>
    <w:p w14:paraId="60610129">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为城乡居民，职工人员等医疗工作。</w:t>
      </w:r>
    </w:p>
    <w:p w14:paraId="650A4537">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为全民人员基本公共卫生14项服务工作。</w:t>
      </w:r>
    </w:p>
    <w:p w14:paraId="7AF845EC">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为全民人员免费体检工作。</w:t>
      </w:r>
    </w:p>
    <w:p w14:paraId="210961B0">
      <w:pPr>
        <w:spacing w:line="640" w:lineRule="exact"/>
        <w:ind w:firstLine="640"/>
        <w:jc w:val="both"/>
        <w:outlineLvl w:val="2"/>
      </w:pPr>
      <w:r>
        <w:rPr>
          <w:rFonts w:ascii="黑体" w:hAnsi="黑体" w:eastAsia="黑体"/>
          <w:sz w:val="32"/>
        </w:rPr>
        <w:t>二、机构设置及人员情况</w:t>
      </w:r>
    </w:p>
    <w:p w14:paraId="3B7C687E">
      <w:pPr>
        <w:spacing w:line="580" w:lineRule="exact"/>
        <w:ind w:firstLine="640"/>
        <w:jc w:val="both"/>
      </w:pPr>
      <w:r>
        <w:rPr>
          <w:rFonts w:ascii="仿宋_GB2312" w:hAnsi="仿宋_GB2312" w:eastAsia="仿宋_GB2312"/>
          <w:sz w:val="32"/>
        </w:rPr>
        <w:t>阿图什市幸福街道办事处社区卫生服务中心2024年度，实有人数41人，其中：在职人员40人，减少14人；离休人员0人，增加0人；退休人员1人</w:t>
      </w:r>
      <w:bookmarkStart w:id="0" w:name="_GoBack"/>
      <w:r>
        <w:rPr>
          <w:rFonts w:ascii="仿宋_GB2312" w:hAnsi="仿宋_GB2312" w:eastAsia="仿宋_GB2312"/>
          <w:sz w:val="32"/>
        </w:rPr>
        <w:t>,</w:t>
      </w:r>
      <w:bookmarkEnd w:id="0"/>
      <w:r>
        <w:rPr>
          <w:rFonts w:ascii="仿宋_GB2312" w:hAnsi="仿宋_GB2312" w:eastAsia="仿宋_GB2312"/>
          <w:sz w:val="32"/>
        </w:rPr>
        <w:t>增加1人。</w:t>
      </w:r>
    </w:p>
    <w:p w14:paraId="542C24A2">
      <w:pPr>
        <w:spacing w:line="580" w:lineRule="exact"/>
        <w:ind w:firstLine="640"/>
        <w:jc w:val="both"/>
      </w:pPr>
      <w:r>
        <w:rPr>
          <w:rFonts w:ascii="仿宋_GB2312" w:hAnsi="仿宋_GB2312" w:eastAsia="仿宋_GB2312"/>
          <w:sz w:val="32"/>
        </w:rPr>
        <w:t>阿图什市幸福街道办事处社区卫生服务中心无下属预算单位，下设7个科室，分别是：预防保健科、妇幼保健科、全科医疗科、民族医学科、内科、妇产科、医学检验科。</w:t>
      </w:r>
    </w:p>
    <w:p w14:paraId="1D0CB3ED">
      <w:r>
        <w:br w:type="page"/>
      </w:r>
    </w:p>
    <w:p w14:paraId="197C674B">
      <w:pPr>
        <w:spacing w:line="240" w:lineRule="auto"/>
        <w:jc w:val="center"/>
        <w:outlineLvl w:val="1"/>
      </w:pPr>
      <w:r>
        <w:rPr>
          <w:rFonts w:ascii="黑体" w:hAnsi="黑体" w:eastAsia="黑体"/>
          <w:sz w:val="32"/>
        </w:rPr>
        <w:t>第二部分 部门决算情况说明</w:t>
      </w:r>
    </w:p>
    <w:p w14:paraId="342C5B63">
      <w:pPr>
        <w:spacing w:line="640" w:lineRule="exact"/>
        <w:ind w:firstLine="640"/>
        <w:jc w:val="both"/>
        <w:outlineLvl w:val="2"/>
      </w:pPr>
      <w:r>
        <w:rPr>
          <w:rFonts w:ascii="黑体" w:hAnsi="黑体" w:eastAsia="黑体"/>
          <w:sz w:val="32"/>
        </w:rPr>
        <w:t>一、收入支出决算总体情况说明</w:t>
      </w:r>
    </w:p>
    <w:p w14:paraId="7377A009">
      <w:pPr>
        <w:spacing w:line="580" w:lineRule="exact"/>
        <w:ind w:firstLine="640"/>
        <w:jc w:val="both"/>
      </w:pPr>
      <w:r>
        <w:rPr>
          <w:rFonts w:ascii="仿宋_GB2312" w:hAnsi="仿宋_GB2312" w:eastAsia="仿宋_GB2312"/>
          <w:b/>
          <w:sz w:val="32"/>
        </w:rPr>
        <w:t>2024年度收入总计1,485.16万元，</w:t>
      </w:r>
      <w:r>
        <w:rPr>
          <w:rFonts w:ascii="仿宋_GB2312" w:hAnsi="仿宋_GB2312" w:eastAsia="仿宋_GB2312"/>
          <w:b w:val="0"/>
          <w:sz w:val="32"/>
        </w:rPr>
        <w:t>其中：本年收入合计1,324.22万元，使用非财政拨款结余（含专用结余）160.94万元，年初结转和结余0.00万元。</w:t>
      </w:r>
    </w:p>
    <w:p w14:paraId="6C0F869A">
      <w:pPr>
        <w:spacing w:line="580" w:lineRule="exact"/>
        <w:ind w:firstLine="640"/>
        <w:jc w:val="both"/>
      </w:pPr>
      <w:r>
        <w:rPr>
          <w:rFonts w:ascii="仿宋_GB2312" w:hAnsi="仿宋_GB2312" w:eastAsia="仿宋_GB2312"/>
          <w:b/>
          <w:sz w:val="32"/>
        </w:rPr>
        <w:t>2024年度支出总计1,485.16万元，</w:t>
      </w:r>
      <w:r>
        <w:rPr>
          <w:rFonts w:ascii="仿宋_GB2312" w:hAnsi="仿宋_GB2312" w:eastAsia="仿宋_GB2312"/>
          <w:b w:val="0"/>
          <w:sz w:val="32"/>
        </w:rPr>
        <w:t>其中：本年支出合计1,485.16万元，结余分配0.00万元，年末结转和结余0.00万元。</w:t>
      </w:r>
    </w:p>
    <w:p w14:paraId="703F6F48">
      <w:pPr>
        <w:spacing w:line="580" w:lineRule="exact"/>
        <w:ind w:firstLine="640"/>
        <w:jc w:val="both"/>
      </w:pPr>
      <w:r>
        <w:rPr>
          <w:rFonts w:ascii="仿宋_GB2312" w:hAnsi="仿宋_GB2312" w:eastAsia="仿宋_GB2312"/>
          <w:b w:val="0"/>
          <w:sz w:val="32"/>
        </w:rPr>
        <w:t>收入支出总体与上年相比，增加252.07万元，增长20.44%，主要原因是：一是本年开展住院业务，医疗事业经费增加；二是增加学生体检经费。</w:t>
      </w:r>
    </w:p>
    <w:p w14:paraId="71AA7C2C">
      <w:pPr>
        <w:spacing w:line="640" w:lineRule="exact"/>
        <w:ind w:firstLine="640"/>
        <w:jc w:val="both"/>
        <w:outlineLvl w:val="2"/>
      </w:pPr>
      <w:r>
        <w:rPr>
          <w:rFonts w:ascii="黑体" w:hAnsi="黑体" w:eastAsia="黑体"/>
          <w:sz w:val="32"/>
        </w:rPr>
        <w:t>二、收入决算情况说明</w:t>
      </w:r>
    </w:p>
    <w:p w14:paraId="3023C816">
      <w:pPr>
        <w:spacing w:line="580" w:lineRule="exact"/>
        <w:ind w:firstLine="640"/>
        <w:jc w:val="both"/>
      </w:pPr>
      <w:r>
        <w:rPr>
          <w:rFonts w:ascii="仿宋_GB2312" w:hAnsi="仿宋_GB2312" w:eastAsia="仿宋_GB2312"/>
          <w:b/>
          <w:sz w:val="32"/>
        </w:rPr>
        <w:t>本年收入1,324.22万元，</w:t>
      </w:r>
      <w:r>
        <w:rPr>
          <w:rFonts w:ascii="仿宋_GB2312" w:hAnsi="仿宋_GB2312" w:eastAsia="仿宋_GB2312"/>
          <w:b w:val="0"/>
          <w:sz w:val="32"/>
        </w:rPr>
        <w:t>其中：财政拨款收入974.39万元，占73.58%；上级补助收入0.00万元，占0.00%；事业收入312.38万元，占23.59%；经营收入0.00万元，占0.00%；附属单位上缴收入0.00万元，占0.00%；其他收入37.45万元，占2.83%。</w:t>
      </w:r>
    </w:p>
    <w:p w14:paraId="0DB0E1DF">
      <w:pPr>
        <w:spacing w:line="640" w:lineRule="exact"/>
        <w:ind w:firstLine="640"/>
        <w:jc w:val="both"/>
        <w:outlineLvl w:val="2"/>
      </w:pPr>
      <w:r>
        <w:rPr>
          <w:rFonts w:ascii="黑体" w:hAnsi="黑体" w:eastAsia="黑体"/>
          <w:sz w:val="32"/>
        </w:rPr>
        <w:t>三、支出决算情况说明</w:t>
      </w:r>
    </w:p>
    <w:p w14:paraId="3D9DCE7B">
      <w:pPr>
        <w:spacing w:line="580" w:lineRule="exact"/>
        <w:ind w:firstLine="640"/>
        <w:jc w:val="both"/>
      </w:pPr>
      <w:r>
        <w:rPr>
          <w:rFonts w:ascii="仿宋_GB2312" w:hAnsi="仿宋_GB2312" w:eastAsia="仿宋_GB2312"/>
          <w:b/>
          <w:sz w:val="32"/>
        </w:rPr>
        <w:t>本年支出1,485.16万元，</w:t>
      </w:r>
      <w:r>
        <w:rPr>
          <w:rFonts w:ascii="仿宋_GB2312" w:hAnsi="仿宋_GB2312" w:eastAsia="仿宋_GB2312"/>
          <w:b w:val="0"/>
          <w:sz w:val="32"/>
        </w:rPr>
        <w:t>其中：基本支出1,110.51万元，占74.77%；项目支出374.65万元，占25.23%；上缴上级支出0.00万元，占0.00%；经营支出0.00万元，占0.00%；对附属单位补助支出0.00万元，占0.00%。</w:t>
      </w:r>
    </w:p>
    <w:p w14:paraId="283828A2">
      <w:pPr>
        <w:spacing w:line="640" w:lineRule="exact"/>
        <w:ind w:firstLine="640"/>
        <w:jc w:val="both"/>
        <w:outlineLvl w:val="2"/>
      </w:pPr>
      <w:r>
        <w:rPr>
          <w:rFonts w:ascii="黑体" w:hAnsi="黑体" w:eastAsia="黑体"/>
          <w:sz w:val="32"/>
        </w:rPr>
        <w:t>四、财政拨款收入支出决算总体情况说明</w:t>
      </w:r>
    </w:p>
    <w:p w14:paraId="3A970277">
      <w:pPr>
        <w:spacing w:line="580" w:lineRule="exact"/>
        <w:ind w:firstLine="640"/>
        <w:jc w:val="both"/>
      </w:pPr>
      <w:r>
        <w:rPr>
          <w:rFonts w:ascii="仿宋_GB2312" w:hAnsi="仿宋_GB2312" w:eastAsia="仿宋_GB2312"/>
          <w:b/>
          <w:sz w:val="32"/>
        </w:rPr>
        <w:t>2024年度财政拨款收入总计974.39万元，</w:t>
      </w:r>
      <w:r>
        <w:rPr>
          <w:rFonts w:ascii="仿宋_GB2312" w:hAnsi="仿宋_GB2312" w:eastAsia="仿宋_GB2312"/>
          <w:b w:val="0"/>
          <w:sz w:val="32"/>
        </w:rPr>
        <w:t>其中：年初财政拨款结转和结余0.00万元，本年财政拨款收入974.39万元。</w:t>
      </w:r>
      <w:r>
        <w:rPr>
          <w:rFonts w:ascii="仿宋_GB2312" w:hAnsi="仿宋_GB2312" w:eastAsia="仿宋_GB2312"/>
          <w:b/>
          <w:sz w:val="32"/>
        </w:rPr>
        <w:t>财政拨款支出总计974.39万元，</w:t>
      </w:r>
      <w:r>
        <w:rPr>
          <w:rFonts w:ascii="仿宋_GB2312" w:hAnsi="仿宋_GB2312" w:eastAsia="仿宋_GB2312"/>
          <w:b w:val="0"/>
          <w:sz w:val="32"/>
        </w:rPr>
        <w:t>其中：年末财政拨款结转和结余0.00万元，本年财政拨款支出974.39万元。</w:t>
      </w:r>
    </w:p>
    <w:p w14:paraId="3D9F35E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增加1.83万元，增长0.19%，主要原因是：增加80岁以上老年人全面健康体检补助经费。</w:t>
      </w:r>
      <w:r>
        <w:rPr>
          <w:rFonts w:ascii="仿宋_GB2312" w:hAnsi="仿宋_GB2312" w:eastAsia="仿宋_GB2312"/>
          <w:b/>
          <w:sz w:val="32"/>
        </w:rPr>
        <w:t>与年初预算相比，</w:t>
      </w:r>
      <w:r>
        <w:rPr>
          <w:rFonts w:ascii="仿宋_GB2312" w:hAnsi="仿宋_GB2312" w:eastAsia="仿宋_GB2312"/>
          <w:b w:val="0"/>
          <w:sz w:val="32"/>
        </w:rPr>
        <w:t>年初预算数994.42万元，决算数974.39万元，预决算差异率-2.01%，主要原因是：本年在职人员减少，年中调减人员经费，导致预决算存在差异。</w:t>
      </w:r>
    </w:p>
    <w:p w14:paraId="53C009DD">
      <w:pPr>
        <w:spacing w:line="640" w:lineRule="exact"/>
        <w:ind w:firstLine="640"/>
        <w:jc w:val="both"/>
        <w:outlineLvl w:val="2"/>
      </w:pPr>
      <w:r>
        <w:rPr>
          <w:rFonts w:ascii="黑体" w:hAnsi="黑体" w:eastAsia="黑体"/>
          <w:sz w:val="32"/>
        </w:rPr>
        <w:t>五、一般公共预算财政拨款支出决算情况说明</w:t>
      </w:r>
    </w:p>
    <w:p w14:paraId="2CFF71C9">
      <w:pPr>
        <w:spacing w:line="640" w:lineRule="exact"/>
        <w:ind w:firstLine="640"/>
        <w:jc w:val="both"/>
        <w:outlineLvl w:val="3"/>
      </w:pPr>
      <w:r>
        <w:rPr>
          <w:rFonts w:ascii="楷体_GB2312" w:hAnsi="楷体_GB2312" w:eastAsia="楷体_GB2312"/>
          <w:b/>
          <w:sz w:val="32"/>
        </w:rPr>
        <w:t>（一）一般公共预算财政拨款支出决算总体情况</w:t>
      </w:r>
    </w:p>
    <w:p w14:paraId="6AFD3667">
      <w:pPr>
        <w:spacing w:line="580" w:lineRule="exact"/>
        <w:ind w:firstLine="640"/>
        <w:jc w:val="both"/>
      </w:pPr>
      <w:r>
        <w:rPr>
          <w:rFonts w:ascii="仿宋_GB2312" w:hAnsi="仿宋_GB2312" w:eastAsia="仿宋_GB2312"/>
          <w:b/>
          <w:sz w:val="32"/>
        </w:rPr>
        <w:t>2024年度一般公共预算财政拨款支出969.75万元，</w:t>
      </w:r>
      <w:r>
        <w:rPr>
          <w:rFonts w:ascii="仿宋_GB2312" w:hAnsi="仿宋_GB2312" w:eastAsia="仿宋_GB2312"/>
          <w:b w:val="0"/>
          <w:sz w:val="32"/>
        </w:rPr>
        <w:t>占本年支出合计的65.30%。</w:t>
      </w:r>
      <w:r>
        <w:rPr>
          <w:rFonts w:ascii="仿宋_GB2312" w:hAnsi="仿宋_GB2312" w:eastAsia="仿宋_GB2312"/>
          <w:b/>
          <w:sz w:val="32"/>
        </w:rPr>
        <w:t>与上年相比，</w:t>
      </w:r>
      <w:r>
        <w:rPr>
          <w:rFonts w:ascii="仿宋_GB2312" w:hAnsi="仿宋_GB2312" w:eastAsia="仿宋_GB2312"/>
          <w:b w:val="0"/>
          <w:sz w:val="32"/>
        </w:rPr>
        <w:t>减少1.47万元，下降0.15%，主要原因是：本年在职人员减少，相关人员经费较上年减少。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年初预算数993.17万元，决算数969.75万元，预决算差异率-2.36%，主要原因是：本年在职人员减少，年中调减人员经费，导致预决算存在差异。</w:t>
      </w:r>
    </w:p>
    <w:p w14:paraId="0D5AAA9A">
      <w:pPr>
        <w:spacing w:line="640" w:lineRule="exact"/>
        <w:ind w:firstLine="640"/>
        <w:jc w:val="both"/>
        <w:outlineLvl w:val="3"/>
      </w:pPr>
      <w:r>
        <w:rPr>
          <w:rFonts w:ascii="楷体_GB2312" w:hAnsi="楷体_GB2312" w:eastAsia="楷体_GB2312"/>
          <w:b/>
          <w:sz w:val="32"/>
        </w:rPr>
        <w:t>（二）一般公共预算财政拨款支出决算结构情况</w:t>
      </w:r>
    </w:p>
    <w:p w14:paraId="4E4EE918">
      <w:pPr>
        <w:spacing w:line="580" w:lineRule="exact"/>
        <w:ind w:firstLine="640"/>
        <w:jc w:val="both"/>
      </w:pPr>
      <w:r>
        <w:rPr>
          <w:rFonts w:ascii="仿宋_GB2312" w:hAnsi="仿宋_GB2312" w:eastAsia="仿宋_GB2312"/>
          <w:b w:val="0"/>
          <w:sz w:val="32"/>
        </w:rPr>
        <w:t>1.社会保障和就业支出(类)59.27万元,占6.11%。</w:t>
      </w:r>
    </w:p>
    <w:p w14:paraId="593F67D7">
      <w:pPr>
        <w:spacing w:line="580" w:lineRule="exact"/>
        <w:ind w:firstLine="640"/>
        <w:jc w:val="both"/>
      </w:pPr>
      <w:r>
        <w:rPr>
          <w:rFonts w:ascii="仿宋_GB2312" w:hAnsi="仿宋_GB2312" w:eastAsia="仿宋_GB2312"/>
          <w:b w:val="0"/>
          <w:sz w:val="32"/>
        </w:rPr>
        <w:t>2.卫生健康支出(类)863.30万元,占89.02%。</w:t>
      </w:r>
    </w:p>
    <w:p w14:paraId="62CD4CEB">
      <w:pPr>
        <w:spacing w:line="580" w:lineRule="exact"/>
        <w:ind w:firstLine="640"/>
        <w:jc w:val="both"/>
      </w:pPr>
      <w:r>
        <w:rPr>
          <w:rFonts w:ascii="仿宋_GB2312" w:hAnsi="仿宋_GB2312" w:eastAsia="仿宋_GB2312"/>
          <w:b w:val="0"/>
          <w:sz w:val="32"/>
        </w:rPr>
        <w:t>3.住房保障支出(类)47.17万元,占4.86%。</w:t>
      </w:r>
    </w:p>
    <w:p w14:paraId="78922763">
      <w:pPr>
        <w:spacing w:line="640" w:lineRule="exact"/>
        <w:ind w:firstLine="640"/>
        <w:jc w:val="both"/>
        <w:outlineLvl w:val="3"/>
      </w:pPr>
      <w:r>
        <w:rPr>
          <w:rFonts w:ascii="楷体_GB2312" w:hAnsi="楷体_GB2312" w:eastAsia="楷体_GB2312"/>
          <w:b/>
          <w:sz w:val="32"/>
        </w:rPr>
        <w:t>（三）一般公共预算财政拨款支出决算具体情况</w:t>
      </w:r>
    </w:p>
    <w:p w14:paraId="30738635">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1.社会保障和就业支出(类)行政事业单位养老支出(款)事业单位离退休(项):支出决算数为0.75万元，比上年决算增加0.75万元，增长100.00%,主要原因是：本年退休人员增加，退休费支出增加。</w:t>
      </w:r>
    </w:p>
    <w:p w14:paraId="01BA38E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58.06万元，比上年决算增加4.29万元，增长7.98%,主要原因是：本年在职人员工资基数调增，养老缴费基数上涨，相应支出增加。</w:t>
      </w:r>
    </w:p>
    <w:p w14:paraId="2C4B6A0E">
      <w:pPr>
        <w:spacing w:line="580" w:lineRule="exact"/>
        <w:ind w:firstLine="640"/>
        <w:jc w:val="both"/>
      </w:pPr>
      <w:r>
        <w:rPr>
          <w:rFonts w:ascii="仿宋_GB2312" w:hAnsi="仿宋_GB2312" w:eastAsia="仿宋_GB2312"/>
          <w:b w:val="0"/>
          <w:sz w:val="32"/>
        </w:rPr>
        <w:t>3.社会保障和就业支出(类)社会福利(款)老年福利(项):支出决算数为0.46万元，比上年决算增加0.46万元，增长100.00%,主要原因是：增加80岁以上高龄老人基本生活和免费体检项目地方配套资金。</w:t>
      </w:r>
    </w:p>
    <w:p w14:paraId="13454555">
      <w:pPr>
        <w:spacing w:line="580" w:lineRule="exact"/>
        <w:ind w:firstLine="640"/>
        <w:jc w:val="both"/>
      </w:pPr>
      <w:r>
        <w:rPr>
          <w:rFonts w:ascii="仿宋_GB2312" w:hAnsi="仿宋_GB2312" w:eastAsia="仿宋_GB2312"/>
          <w:b w:val="0"/>
          <w:sz w:val="32"/>
        </w:rPr>
        <w:t>4.卫生健康支出(类)基层医疗卫生机构(款)城市社区卫生机构(项):支出决算数为474.30万元，比上年决算增加10.06万元，增长2.17%,主要原因是：在职人员工资调增，人员经费增加。</w:t>
      </w:r>
    </w:p>
    <w:p w14:paraId="722AD41C">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5.卫生健康支出(类)基层医疗卫生机构(款)其他基层医疗卫生机构支出(项):支出决算数为16.90万元，比上年决算增加4.18万元，增长32.86%,主要原因是：中央基本药物制度补助资金较上年增加。</w:t>
      </w:r>
    </w:p>
    <w:p w14:paraId="5F1F9B14">
      <w:pPr>
        <w:spacing w:line="580" w:lineRule="exact"/>
        <w:ind w:firstLine="640"/>
        <w:jc w:val="both"/>
      </w:pPr>
      <w:r>
        <w:rPr>
          <w:rFonts w:ascii="仿宋_GB2312" w:hAnsi="仿宋_GB2312" w:eastAsia="仿宋_GB2312"/>
          <w:b w:val="0"/>
          <w:sz w:val="32"/>
        </w:rPr>
        <w:t>6.卫生健康支出(类)公共卫生(款)基本公共卫生服务(项):支出决算数为263.14万元，比上年决算减少15.97万元，下降5.72%,主要原因是：中央基本公共卫生服务补助资金较上年减少。</w:t>
      </w:r>
    </w:p>
    <w:p w14:paraId="33FBB929">
      <w:pPr>
        <w:spacing w:line="580" w:lineRule="exact"/>
        <w:ind w:firstLine="640"/>
        <w:jc w:val="both"/>
      </w:pPr>
      <w:r>
        <w:rPr>
          <w:rFonts w:ascii="仿宋_GB2312" w:hAnsi="仿宋_GB2312" w:eastAsia="仿宋_GB2312"/>
          <w:b w:val="0"/>
          <w:sz w:val="32"/>
        </w:rPr>
        <w:t>7.卫生健康支出(类)公共卫生(款)重大公共卫生服务(项):支出决算数为0.00万元，比上年决算减少43.62万元，下降100.00%,主要原因是：科目调整，全民健康体检补助资金从重大公共卫生服务科目调整至其他公共卫生支出科目。</w:t>
      </w:r>
    </w:p>
    <w:p w14:paraId="5E3D9064">
      <w:pPr>
        <w:spacing w:line="580" w:lineRule="exact"/>
        <w:ind w:firstLine="640"/>
        <w:jc w:val="both"/>
      </w:pPr>
      <w:r>
        <w:rPr>
          <w:rFonts w:ascii="仿宋_GB2312" w:hAnsi="仿宋_GB2312" w:eastAsia="仿宋_GB2312"/>
          <w:b w:val="0"/>
          <w:sz w:val="32"/>
        </w:rPr>
        <w:t>8.卫生健康支出(类)公共卫生(款)其他公共卫生支出(项):支出决算数为89.51万元，比上年决算增加33.97万元，增长61.16%,主要原因是：科目调整，全民健康体检补助资金从重大公共卫生服务科目调整至其他公共卫生支出科目。</w:t>
      </w:r>
    </w:p>
    <w:p w14:paraId="7EE40178">
      <w:pPr>
        <w:spacing w:line="580" w:lineRule="exact"/>
        <w:ind w:firstLine="640"/>
        <w:jc w:val="both"/>
      </w:pPr>
      <w:r>
        <w:rPr>
          <w:rFonts w:ascii="仿宋_GB2312" w:hAnsi="仿宋_GB2312" w:eastAsia="仿宋_GB2312"/>
          <w:b w:val="0"/>
          <w:sz w:val="32"/>
        </w:rPr>
        <w:t>9.卫生健康支出(类)行政事业单位医疗(款)事业单位医疗(项):支出决算数为19.46万元，比上年决算增加3.66万元，增长23.16%,主要原因是：本年在职人员工资基数调增，医疗缴费基数上涨，相应支出增加。</w:t>
      </w:r>
    </w:p>
    <w:p w14:paraId="1A35EBEA">
      <w:pPr>
        <w:spacing w:line="580" w:lineRule="exact"/>
        <w:ind w:firstLine="640"/>
        <w:jc w:val="both"/>
      </w:pPr>
      <w:r>
        <w:rPr>
          <w:rFonts w:ascii="仿宋_GB2312" w:hAnsi="仿宋_GB2312" w:eastAsia="仿宋_GB2312"/>
          <w:b w:val="0"/>
          <w:sz w:val="32"/>
        </w:rPr>
        <w:t>10.住房保障支出(类)住房改革支出(款)住房公积金(项):支出决算数为47.17万元，比上年决算增加0.75万元，增长1.62%,主要原因是：本年在职人员工资基数调增，公积金缴费基数上涨，相应支出增加。</w:t>
      </w:r>
    </w:p>
    <w:p w14:paraId="501331A3">
      <w:pPr>
        <w:spacing w:line="640" w:lineRule="exact"/>
        <w:ind w:firstLine="640"/>
        <w:jc w:val="both"/>
        <w:outlineLvl w:val="2"/>
      </w:pPr>
      <w:r>
        <w:rPr>
          <w:rFonts w:ascii="黑体" w:hAnsi="黑体" w:eastAsia="黑体"/>
          <w:sz w:val="32"/>
        </w:rPr>
        <w:t>六、一般公共预算财政拨款基本支出决算情况说明</w:t>
      </w:r>
    </w:p>
    <w:p w14:paraId="6205875B">
      <w:pPr>
        <w:spacing w:line="580" w:lineRule="exact"/>
        <w:ind w:firstLine="640"/>
        <w:jc w:val="both"/>
      </w:pPr>
      <w:r>
        <w:rPr>
          <w:rFonts w:ascii="仿宋_GB2312" w:hAnsi="仿宋_GB2312" w:eastAsia="仿宋_GB2312"/>
          <w:b w:val="0"/>
          <w:sz w:val="32"/>
        </w:rPr>
        <w:t>2024年度一般公共预算财政拨款基本支出599.74万元，其中：</w:t>
      </w:r>
      <w:r>
        <w:rPr>
          <w:rFonts w:ascii="仿宋_GB2312" w:hAnsi="仿宋_GB2312" w:eastAsia="仿宋_GB2312"/>
          <w:b/>
          <w:sz w:val="32"/>
        </w:rPr>
        <w:t>人员经费585.60万元，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6075CBAD">
      <w:pPr>
        <w:spacing w:line="580" w:lineRule="exact"/>
        <w:ind w:firstLine="640"/>
        <w:jc w:val="both"/>
      </w:pPr>
      <w:r>
        <w:rPr>
          <w:rFonts w:ascii="仿宋_GB2312" w:hAnsi="仿宋_GB2312" w:eastAsia="仿宋_GB2312"/>
          <w:b/>
          <w:sz w:val="32"/>
        </w:rPr>
        <w:t>公用经费14.14万元，</w:t>
      </w:r>
      <w:r>
        <w:rPr>
          <w:rFonts w:ascii="仿宋_GB2312" w:hAnsi="仿宋_GB2312" w:eastAsia="仿宋_GB2312"/>
          <w:b w:val="0"/>
          <w:sz w:val="32"/>
        </w:rPr>
        <w:t>包括：电费。</w:t>
      </w:r>
    </w:p>
    <w:p w14:paraId="19BC6D19">
      <w:pPr>
        <w:spacing w:line="640" w:lineRule="exact"/>
        <w:ind w:firstLine="640"/>
        <w:jc w:val="both"/>
        <w:outlineLvl w:val="2"/>
      </w:pPr>
      <w:r>
        <w:rPr>
          <w:rFonts w:ascii="黑体" w:hAnsi="黑体" w:eastAsia="黑体"/>
          <w:sz w:val="32"/>
        </w:rPr>
        <w:t>七、政府性基金预算财政拨款收入支出决算情况说明</w:t>
      </w:r>
    </w:p>
    <w:p w14:paraId="198BC417">
      <w:pPr>
        <w:spacing w:line="580" w:lineRule="exact"/>
        <w:ind w:firstLine="640"/>
        <w:jc w:val="both"/>
      </w:pPr>
      <w:r>
        <w:rPr>
          <w:rFonts w:ascii="仿宋_GB2312" w:hAnsi="仿宋_GB2312" w:eastAsia="仿宋_GB2312"/>
          <w:b/>
          <w:sz w:val="32"/>
        </w:rPr>
        <w:t>2024年度政府性基金预算财政拨款收入总计4.64万元，</w:t>
      </w:r>
      <w:r>
        <w:rPr>
          <w:rFonts w:ascii="仿宋_GB2312" w:hAnsi="仿宋_GB2312" w:eastAsia="仿宋_GB2312"/>
          <w:b w:val="0"/>
          <w:sz w:val="32"/>
        </w:rPr>
        <w:t>其中：年初结转和结余0.00万元，本年收入4.64万元。</w:t>
      </w:r>
      <w:r>
        <w:rPr>
          <w:rFonts w:ascii="仿宋_GB2312" w:hAnsi="仿宋_GB2312" w:eastAsia="仿宋_GB2312"/>
          <w:b/>
          <w:sz w:val="32"/>
        </w:rPr>
        <w:t>政府性基金预算财政拨款支出总计4.64万元，</w:t>
      </w:r>
      <w:r>
        <w:rPr>
          <w:rFonts w:ascii="仿宋_GB2312" w:hAnsi="仿宋_GB2312" w:eastAsia="仿宋_GB2312"/>
          <w:b w:val="0"/>
          <w:sz w:val="32"/>
        </w:rPr>
        <w:t>其中：年末结转和结余0.00万元，本年支出4.64万元。</w:t>
      </w:r>
    </w:p>
    <w:p w14:paraId="44F11CDF">
      <w:pPr>
        <w:spacing w:line="580" w:lineRule="exact"/>
        <w:ind w:firstLine="640"/>
        <w:jc w:val="both"/>
        <w:rPr>
          <w:sz w:val="30"/>
          <w:szCs w:val="30"/>
        </w:rPr>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增加3.30万元，增长246.27%，主要原因是：增加80周岁老年人生活补助和免费体检自治区补助资金。</w:t>
      </w:r>
      <w:r>
        <w:rPr>
          <w:rFonts w:ascii="仿宋_GB2312" w:hAnsi="仿宋_GB2312" w:eastAsia="仿宋_GB2312"/>
          <w:b/>
          <w:sz w:val="32"/>
        </w:rPr>
        <w:t>与年初预算相比，</w:t>
      </w:r>
      <w:r>
        <w:rPr>
          <w:rFonts w:ascii="仿宋_GB2312" w:hAnsi="仿宋_GB2312" w:eastAsia="仿宋_GB2312"/>
          <w:b w:val="0"/>
          <w:sz w:val="32"/>
        </w:rPr>
        <w:t>年初预算数1.25万元，决算数4.64万元，预决算差异率271.20%，主要原因是：年中追加80周岁老年人生活补助和免费体检自治区补助资金，中央专项彩</w:t>
      </w:r>
      <w:r>
        <w:rPr>
          <w:rFonts w:ascii="仿宋_GB2312" w:hAnsi="仿宋_GB2312" w:eastAsia="仿宋_GB2312"/>
          <w:b w:val="0"/>
          <w:sz w:val="30"/>
          <w:szCs w:val="30"/>
        </w:rPr>
        <w:t>票公益金支持地方社会公益事业发展医疗救助资金，导致预决算存在差异。</w:t>
      </w:r>
    </w:p>
    <w:p w14:paraId="00CAA00F">
      <w:pPr>
        <w:spacing w:line="580" w:lineRule="exact"/>
        <w:ind w:firstLine="640"/>
        <w:jc w:val="both"/>
      </w:pPr>
      <w:r>
        <w:rPr>
          <w:rFonts w:ascii="仿宋_GB2312" w:hAnsi="仿宋_GB2312" w:eastAsia="仿宋_GB2312"/>
          <w:b w:val="0"/>
          <w:sz w:val="32"/>
        </w:rPr>
        <w:t>政府性基金预算财政拨款支出4.64万元。</w:t>
      </w:r>
    </w:p>
    <w:p w14:paraId="1266DF84">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1.其他支出(类)彩票公益金安排的支出(款)用于社会福利的彩票公益金支出(项):支出决算数为3.64万元，比上年决算增加2.30万元，增长171.64%,主要原因是：增加80周岁老年人生活补助和免费体检自治区补助资金。</w:t>
      </w:r>
    </w:p>
    <w:p w14:paraId="1E52CF0B">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0.99万元，比上年决算增加0.99万元，增长100.00%,主要原因是：增加中央专项彩票公益金支持地方社会公益事业发展医疗救助资金。</w:t>
      </w:r>
    </w:p>
    <w:p w14:paraId="090261EF">
      <w:pPr>
        <w:spacing w:line="640" w:lineRule="exact"/>
        <w:ind w:firstLine="640"/>
        <w:jc w:val="both"/>
        <w:outlineLvl w:val="2"/>
      </w:pPr>
      <w:r>
        <w:rPr>
          <w:rFonts w:ascii="黑体" w:hAnsi="黑体" w:eastAsia="黑体"/>
          <w:sz w:val="32"/>
        </w:rPr>
        <w:t>八、国有资本经营预算财政拨款收入支出决算情况说明</w:t>
      </w:r>
    </w:p>
    <w:p w14:paraId="0B17A38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75BFB0E">
      <w:pPr>
        <w:spacing w:line="640" w:lineRule="exact"/>
        <w:ind w:firstLine="640"/>
        <w:jc w:val="both"/>
        <w:outlineLvl w:val="2"/>
      </w:pPr>
      <w:r>
        <w:rPr>
          <w:rFonts w:ascii="黑体" w:hAnsi="黑体" w:eastAsia="黑体"/>
          <w:sz w:val="32"/>
        </w:rPr>
        <w:t>九、财政拨款“三公”经费支出决算情况说明</w:t>
      </w:r>
    </w:p>
    <w:p w14:paraId="61108DFE">
      <w:pPr>
        <w:spacing w:line="580" w:lineRule="exact"/>
        <w:ind w:firstLine="640"/>
        <w:jc w:val="both"/>
      </w:pPr>
      <w:r>
        <w:rPr>
          <w:rFonts w:ascii="仿宋_GB2312" w:hAnsi="仿宋_GB2312" w:eastAsia="仿宋_GB2312"/>
          <w:b/>
          <w:sz w:val="32"/>
        </w:rPr>
        <w:t>2024年度财政拨款“三公”经费支出1.14万元，</w:t>
      </w:r>
      <w:r>
        <w:rPr>
          <w:rFonts w:ascii="仿宋_GB2312" w:hAnsi="仿宋_GB2312" w:eastAsia="仿宋_GB2312"/>
          <w:b w:val="0"/>
          <w:sz w:val="32"/>
        </w:rPr>
        <w:t>比上年减少0.98万元，下降46.23%，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1.14万元，占100.00%，比上年减少0.98万元，下降46.23%，主要原因是：严格落实中央八项规定精神，厉行节约，减少公务用车运行维护费。公务接待费支出0.00万元，占0.00%，比上年增加0.00万元，增长0.00%，主要原因是：2023年与2024年均未安排公务接待费支出。</w:t>
      </w:r>
    </w:p>
    <w:p w14:paraId="38078B6D">
      <w:pPr>
        <w:spacing w:line="580" w:lineRule="exact"/>
        <w:ind w:firstLine="640"/>
        <w:jc w:val="both"/>
      </w:pPr>
      <w:r>
        <w:rPr>
          <w:rFonts w:ascii="仿宋_GB2312" w:hAnsi="仿宋_GB2312" w:eastAsia="仿宋_GB2312"/>
          <w:b/>
          <w:sz w:val="32"/>
        </w:rPr>
        <w:t>具体情况如下：</w:t>
      </w:r>
    </w:p>
    <w:p w14:paraId="54457D3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64A826F">
      <w:pPr>
        <w:spacing w:line="580" w:lineRule="exact"/>
        <w:ind w:firstLine="640"/>
        <w:jc w:val="both"/>
      </w:pPr>
      <w:r>
        <w:rPr>
          <w:rFonts w:ascii="仿宋_GB2312" w:hAnsi="仿宋_GB2312" w:eastAsia="仿宋_GB2312"/>
          <w:b w:val="0"/>
          <w:sz w:val="32"/>
        </w:rPr>
        <w:t>公务用车购置及运行维护费1.14万元，其中：公务用车购置费0.00万元，公务用车运行维护费1.14万元。公务用车运行维护费开支内容包括车辆加油费、保险费、过路费、维修费。公务用车购置数0辆，公务用车保有量3辆。国有资产占用情况中固定资产车辆3辆，与公务用车保有量差异原因是：本单位固定资产车辆与公务用车保有量一致无差异。</w:t>
      </w:r>
    </w:p>
    <w:p w14:paraId="34051CF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D046B0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1.14万元，决算数1.14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1.14万元，决算数1.14万元，预决算差异率0.00%，主要原因是：严格按照预算执行，预决算无差异。公务接待费全年预算数0.00万元，决算数0.00万元，预决算差异率0.00%，主要原因是：本单位无公务接待费。</w:t>
      </w:r>
    </w:p>
    <w:p w14:paraId="6098F288">
      <w:pPr>
        <w:spacing w:line="640" w:lineRule="exact"/>
        <w:ind w:firstLine="640"/>
        <w:jc w:val="both"/>
        <w:outlineLvl w:val="2"/>
      </w:pPr>
      <w:r>
        <w:rPr>
          <w:rFonts w:ascii="黑体" w:hAnsi="黑体" w:eastAsia="黑体"/>
          <w:sz w:val="32"/>
        </w:rPr>
        <w:t>十、其他重要事项的情况说明</w:t>
      </w:r>
    </w:p>
    <w:p w14:paraId="278D2D34">
      <w:pPr>
        <w:spacing w:line="640" w:lineRule="exact"/>
        <w:ind w:firstLine="640"/>
        <w:jc w:val="both"/>
        <w:outlineLvl w:val="3"/>
      </w:pPr>
      <w:r>
        <w:rPr>
          <w:rFonts w:ascii="楷体_GB2312" w:hAnsi="楷体_GB2312" w:eastAsia="楷体_GB2312"/>
          <w:b/>
          <w:sz w:val="32"/>
        </w:rPr>
        <w:t>（一）机关运行经费及公用经费支出情况</w:t>
      </w:r>
    </w:p>
    <w:p w14:paraId="2D356E77">
      <w:pPr>
        <w:spacing w:line="580" w:lineRule="exact"/>
        <w:ind w:firstLine="640"/>
        <w:jc w:val="both"/>
      </w:pPr>
      <w:r>
        <w:rPr>
          <w:rFonts w:ascii="仿宋_GB2312" w:hAnsi="仿宋_GB2312" w:eastAsia="仿宋_GB2312"/>
          <w:b w:val="0"/>
          <w:sz w:val="32"/>
        </w:rPr>
        <w:t>2024年度阿图什市幸福街道办事处社区卫生服务中心（事业单位）公用经费支出14.14万元，比上年增加14.14万元，增长100.00%，主要原因是：本年增加单位</w:t>
      </w:r>
      <w:r>
        <w:rPr>
          <w:rFonts w:hint="eastAsia" w:ascii="仿宋_GB2312" w:hAnsi="仿宋_GB2312" w:eastAsia="仿宋_GB2312"/>
          <w:b w:val="0"/>
          <w:sz w:val="32"/>
        </w:rPr>
        <w:t>电费</w:t>
      </w:r>
      <w:r>
        <w:rPr>
          <w:rFonts w:ascii="仿宋_GB2312" w:hAnsi="仿宋_GB2312" w:eastAsia="仿宋_GB2312"/>
          <w:b w:val="0"/>
          <w:sz w:val="32"/>
        </w:rPr>
        <w:t>。</w:t>
      </w:r>
    </w:p>
    <w:p w14:paraId="7E34CDDD">
      <w:pPr>
        <w:spacing w:line="640" w:lineRule="exact"/>
        <w:ind w:firstLine="640"/>
        <w:jc w:val="both"/>
        <w:outlineLvl w:val="3"/>
      </w:pPr>
      <w:r>
        <w:rPr>
          <w:rFonts w:ascii="楷体_GB2312" w:hAnsi="楷体_GB2312" w:eastAsia="楷体_GB2312"/>
          <w:b/>
          <w:sz w:val="32"/>
        </w:rPr>
        <w:t>（二）政府采购情况</w:t>
      </w:r>
    </w:p>
    <w:p w14:paraId="256F6B63">
      <w:pPr>
        <w:spacing w:line="580" w:lineRule="exact"/>
        <w:ind w:firstLine="640"/>
        <w:jc w:val="both"/>
      </w:pPr>
      <w:r>
        <w:rPr>
          <w:rFonts w:ascii="仿宋_GB2312" w:hAnsi="仿宋_GB2312" w:eastAsia="仿宋_GB2312"/>
          <w:b w:val="0"/>
          <w:sz w:val="32"/>
        </w:rPr>
        <w:t>2024年度政府采购支出总额158.68万元，其中：政府采购货物支出80.10万元、政府采购工程支出0.00万元、政府采购服务支出78.58万元。</w:t>
      </w:r>
    </w:p>
    <w:p w14:paraId="2C2271AB">
      <w:pPr>
        <w:spacing w:line="580" w:lineRule="exact"/>
        <w:ind w:firstLine="640"/>
        <w:jc w:val="both"/>
      </w:pPr>
      <w:r>
        <w:rPr>
          <w:rFonts w:ascii="仿宋_GB2312" w:hAnsi="仿宋_GB2312" w:eastAsia="仿宋_GB2312"/>
          <w:b w:val="0"/>
          <w:sz w:val="32"/>
        </w:rPr>
        <w:t>授予中小企业合同金额143.60万元，占政府采购支出总额的90.50%，其中：授予小微企业合同金额132.63万元，占政府采购支出总额的83.58%。</w:t>
      </w:r>
    </w:p>
    <w:p w14:paraId="5C15B494">
      <w:pPr>
        <w:spacing w:line="640" w:lineRule="exact"/>
        <w:ind w:firstLine="640"/>
        <w:jc w:val="both"/>
        <w:outlineLvl w:val="3"/>
      </w:pPr>
      <w:r>
        <w:rPr>
          <w:rFonts w:ascii="楷体_GB2312" w:hAnsi="楷体_GB2312" w:eastAsia="楷体_GB2312"/>
          <w:b/>
          <w:sz w:val="32"/>
        </w:rPr>
        <w:t>（三）国有资产占用情况说明</w:t>
      </w:r>
    </w:p>
    <w:p w14:paraId="7B0BB75D">
      <w:pPr>
        <w:spacing w:line="580" w:lineRule="exact"/>
        <w:ind w:firstLine="640"/>
        <w:jc w:val="both"/>
      </w:pPr>
      <w:r>
        <w:rPr>
          <w:rFonts w:ascii="仿宋_GB2312" w:hAnsi="仿宋_GB2312" w:eastAsia="仿宋_GB2312"/>
          <w:b w:val="0"/>
          <w:sz w:val="32"/>
        </w:rPr>
        <w:t>截至2024年12月31日，房屋284.65平方米，价值22.15万元。车辆3辆，价值74.50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30152D8B">
      <w:pPr>
        <w:spacing w:line="640" w:lineRule="exact"/>
        <w:ind w:firstLine="640"/>
        <w:jc w:val="both"/>
        <w:outlineLvl w:val="2"/>
      </w:pPr>
      <w:r>
        <w:rPr>
          <w:rFonts w:ascii="黑体" w:hAnsi="黑体" w:eastAsia="黑体"/>
          <w:sz w:val="32"/>
        </w:rPr>
        <w:t>十一、预算绩效的情况说明</w:t>
      </w:r>
    </w:p>
    <w:p w14:paraId="6F86E8C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1,485.16万元，实际执行总额1,485.16万元；预算绩效评价项目0个，全年预算数0.00万元，全年执行数0.00万元。预算绩效管理取得的成效：2024年本单位无预算绩效项目。发现的问题及原因：2024年本单位无预算绩效项目。下一步改进措施：2024年本单位无预算绩效项目。具体附整体支出绩效自评表。</w:t>
      </w:r>
    </w:p>
    <w:p w14:paraId="6A9A436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944EC59">
        <w:tblPrEx>
          <w:tblCellMar>
            <w:top w:w="0" w:type="dxa"/>
            <w:left w:w="108" w:type="dxa"/>
            <w:bottom w:w="0" w:type="dxa"/>
            <w:right w:w="108" w:type="dxa"/>
          </w:tblCellMar>
        </w:tblPrEx>
        <w:tc>
          <w:tcPr>
            <w:tcW w:w="8840" w:type="dxa"/>
            <w:gridSpan w:val="8"/>
            <w:vAlign w:val="center"/>
          </w:tcPr>
          <w:p w14:paraId="0A3318BE">
            <w:pPr>
              <w:jc w:val="center"/>
            </w:pPr>
            <w:r>
              <w:rPr>
                <w:rFonts w:ascii="宋体" w:hAnsi="宋体" w:eastAsia="宋体"/>
                <w:sz w:val="24"/>
              </w:rPr>
              <w:t>单位整体支出绩效自评表</w:t>
            </w:r>
          </w:p>
        </w:tc>
      </w:tr>
      <w:tr w14:paraId="2769D213">
        <w:tblPrEx>
          <w:tblCellMar>
            <w:top w:w="0" w:type="dxa"/>
            <w:left w:w="108" w:type="dxa"/>
            <w:bottom w:w="0" w:type="dxa"/>
            <w:right w:w="108" w:type="dxa"/>
          </w:tblCellMar>
        </w:tblPrEx>
        <w:tc>
          <w:tcPr>
            <w:tcW w:w="8840" w:type="dxa"/>
            <w:gridSpan w:val="8"/>
            <w:vAlign w:val="center"/>
          </w:tcPr>
          <w:p w14:paraId="1E3AEBBA">
            <w:pPr>
              <w:jc w:val="center"/>
            </w:pPr>
            <w:r>
              <w:rPr>
                <w:rFonts w:ascii="宋体" w:hAnsi="宋体" w:eastAsia="宋体"/>
                <w:sz w:val="24"/>
              </w:rPr>
              <w:t>（2024年度）</w:t>
            </w:r>
          </w:p>
        </w:tc>
      </w:tr>
      <w:tr w14:paraId="45A21E0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6FB2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17E342">
            <w:pPr>
              <w:jc w:val="center"/>
            </w:pPr>
            <w:r>
              <w:rPr>
                <w:rFonts w:ascii="宋体" w:hAnsi="宋体" w:eastAsia="宋体"/>
                <w:sz w:val="16"/>
              </w:rPr>
              <w:t>阿图什市幸福街道办事处社区卫生服务中心</w:t>
            </w:r>
          </w:p>
        </w:tc>
      </w:tr>
      <w:tr w14:paraId="77FC364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E25CE">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04D1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EA65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CE97C">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ED18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C7A0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74CA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2A2B0">
            <w:pPr>
              <w:jc w:val="center"/>
            </w:pPr>
            <w:r>
              <w:rPr>
                <w:rFonts w:ascii="宋体" w:hAnsi="宋体" w:eastAsia="宋体"/>
                <w:sz w:val="16"/>
              </w:rPr>
              <w:t>得分</w:t>
            </w:r>
          </w:p>
        </w:tc>
      </w:tr>
      <w:tr w14:paraId="6C58A5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CAE31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FF9B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7DCB7">
            <w:pPr>
              <w:jc w:val="center"/>
            </w:pPr>
            <w:r>
              <w:rPr>
                <w:rFonts w:ascii="宋体" w:hAnsi="宋体" w:eastAsia="宋体"/>
                <w:sz w:val="16"/>
              </w:rPr>
              <w:t>965.79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528B9">
            <w:pPr>
              <w:jc w:val="center"/>
            </w:pPr>
            <w:r>
              <w:rPr>
                <w:rFonts w:ascii="宋体" w:hAnsi="宋体" w:eastAsia="宋体"/>
                <w:sz w:val="16"/>
              </w:rPr>
              <w:t>1,485.16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83FB1">
            <w:pPr>
              <w:jc w:val="center"/>
            </w:pPr>
            <w:r>
              <w:rPr>
                <w:rFonts w:ascii="宋体" w:hAnsi="宋体" w:eastAsia="宋体"/>
                <w:sz w:val="16"/>
              </w:rPr>
              <w:t>1,485.16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3B07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D0E54">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B0508">
            <w:pPr>
              <w:jc w:val="center"/>
              <w:rPr>
                <w:rFonts w:hint="default" w:eastAsia="宋体"/>
                <w:lang w:val="en-US" w:eastAsia="zh-CN"/>
              </w:rPr>
            </w:pPr>
            <w:r>
              <w:rPr>
                <w:rFonts w:hint="eastAsia" w:ascii="宋体" w:hAnsi="宋体"/>
                <w:sz w:val="16"/>
                <w:lang w:val="en-US" w:eastAsia="zh-CN"/>
              </w:rPr>
              <w:t>10</w:t>
            </w:r>
          </w:p>
        </w:tc>
      </w:tr>
      <w:tr w14:paraId="0158D82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E705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B905F">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0447E">
            <w:pPr>
              <w:jc w:val="center"/>
            </w:pPr>
            <w:r>
              <w:rPr>
                <w:rFonts w:ascii="宋体" w:hAnsi="宋体" w:eastAsia="宋体"/>
                <w:sz w:val="16"/>
              </w:rPr>
              <w:t>345.70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AE15C">
            <w:pPr>
              <w:jc w:val="center"/>
            </w:pPr>
            <w:r>
              <w:rPr>
                <w:rFonts w:ascii="宋体" w:hAnsi="宋体" w:eastAsia="宋体"/>
                <w:sz w:val="16"/>
              </w:rPr>
              <w:t>374.18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AFAB9">
            <w:pPr>
              <w:jc w:val="center"/>
            </w:pPr>
            <w:r>
              <w:rPr>
                <w:rFonts w:ascii="宋体" w:hAnsi="宋体" w:eastAsia="宋体"/>
                <w:sz w:val="16"/>
              </w:rPr>
              <w:t>374.18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B502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FCA5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43DCC">
            <w:pPr>
              <w:jc w:val="center"/>
            </w:pPr>
            <w:r>
              <w:rPr>
                <w:rFonts w:ascii="宋体" w:hAnsi="宋体" w:eastAsia="宋体"/>
                <w:sz w:val="16"/>
              </w:rPr>
              <w:t>—</w:t>
            </w:r>
          </w:p>
        </w:tc>
      </w:tr>
      <w:tr w14:paraId="4C74605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15384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28BCA">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97673">
            <w:pPr>
              <w:jc w:val="center"/>
            </w:pPr>
            <w:r>
              <w:rPr>
                <w:rFonts w:ascii="宋体" w:hAnsi="宋体" w:eastAsia="宋体"/>
                <w:sz w:val="16"/>
              </w:rPr>
              <w:t>620.09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2FEC4">
            <w:pPr>
              <w:jc w:val="center"/>
            </w:pPr>
            <w:r>
              <w:rPr>
                <w:rFonts w:ascii="宋体" w:hAnsi="宋体" w:eastAsia="宋体"/>
                <w:sz w:val="16"/>
              </w:rPr>
              <w:t>1,110.98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579FA">
            <w:pPr>
              <w:jc w:val="center"/>
            </w:pPr>
            <w:r>
              <w:rPr>
                <w:rFonts w:ascii="宋体" w:hAnsi="宋体" w:eastAsia="宋体"/>
                <w:sz w:val="16"/>
              </w:rPr>
              <w:t>1,110.98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D458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41F1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8056E">
            <w:pPr>
              <w:jc w:val="center"/>
            </w:pPr>
            <w:r>
              <w:rPr>
                <w:rFonts w:ascii="宋体" w:hAnsi="宋体" w:eastAsia="宋体"/>
                <w:sz w:val="16"/>
              </w:rPr>
              <w:t>—</w:t>
            </w:r>
          </w:p>
        </w:tc>
      </w:tr>
      <w:tr w14:paraId="629DC6C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12485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4EE92">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C692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09775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D56A6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66A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62E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C564F">
            <w:pPr>
              <w:jc w:val="center"/>
            </w:pPr>
            <w:r>
              <w:rPr>
                <w:rFonts w:ascii="宋体" w:hAnsi="宋体" w:eastAsia="宋体"/>
                <w:sz w:val="16"/>
              </w:rPr>
              <w:t>—</w:t>
            </w:r>
          </w:p>
        </w:tc>
      </w:tr>
      <w:tr w14:paraId="01CAB78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BCD1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3B9A9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570602">
            <w:pPr>
              <w:jc w:val="center"/>
            </w:pPr>
            <w:r>
              <w:rPr>
                <w:rFonts w:ascii="宋体" w:hAnsi="宋体" w:eastAsia="宋体"/>
                <w:sz w:val="16"/>
              </w:rPr>
              <w:t>实际完成情况</w:t>
            </w:r>
          </w:p>
        </w:tc>
      </w:tr>
      <w:tr w14:paraId="7A8B41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F6036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979C63">
            <w:pPr>
              <w:jc w:val="both"/>
            </w:pPr>
            <w:r>
              <w:rPr>
                <w:rFonts w:ascii="宋体" w:hAnsi="宋体" w:eastAsia="宋体"/>
                <w:sz w:val="16"/>
              </w:rPr>
              <w:t xml:space="preserve">单位基本职能：1.为全民人员康复服务日常工作；2.为城乡居民，职工人员等医疗工作；3.为全民人员基本公共卫生14项服务工作； </w:t>
            </w:r>
            <w:r>
              <w:rPr>
                <w:rFonts w:ascii="宋体" w:hAnsi="宋体" w:eastAsia="宋体"/>
                <w:sz w:val="16"/>
              </w:rPr>
              <w:br w:type="textWrapping"/>
            </w:r>
            <w:r>
              <w:rPr>
                <w:rFonts w:ascii="宋体" w:hAnsi="宋体" w:eastAsia="宋体"/>
                <w:sz w:val="16"/>
              </w:rPr>
              <w:t xml:space="preserve">机构设置及人员配置：无下属预算 单位，下设1个科室，编制数46，实有人数41人，在职40人。 </w:t>
            </w:r>
            <w:r>
              <w:rPr>
                <w:rFonts w:ascii="宋体" w:hAnsi="宋体" w:eastAsia="宋体"/>
                <w:sz w:val="16"/>
              </w:rPr>
              <w:br w:type="textWrapping"/>
            </w:r>
            <w:r>
              <w:rPr>
                <w:rFonts w:ascii="宋体" w:hAnsi="宋体" w:eastAsia="宋体"/>
                <w:sz w:val="16"/>
              </w:rPr>
              <w:t>中长期规划：深入贯彻落实党的二十大精神，坚持“科技兴院”的发展战略，坚持以人民为中心的服务理念，全面提高医疗质量，确保医疗安全，以提高社会效益、经济效益为目的，全面实施综合目标责任制管理，着力提高科学管理水平，强化职工队伍思想和业务素质，打造团结拼搏、开拓进取的团队精神，求真务实，努力奋斗，加大改革力度，实现思路创新、经营创新、管理创新，开创医院工作的新局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44F800">
            <w:pPr>
              <w:jc w:val="both"/>
            </w:pPr>
            <w:r>
              <w:rPr>
                <w:rFonts w:ascii="宋体" w:hAnsi="宋体" w:eastAsia="宋体"/>
                <w:sz w:val="16"/>
              </w:rPr>
              <w:t xml:space="preserve">本单位共计支出1485.16万元，用于保障部门在职40人的工资福利、各项补助正常发放及部门单位正常运转，单位预算项目根据年初计划均已完成，以提高社会效益、经济效益为目的，全面实施综合目标责任制管理，着力提高科学管理水平，强化职工队伍思想和业务素质，打造团结拼搏、开拓进取的团队精神，求真务实，努力奋斗，加大改革力度，实现思路创新、经营创新、管理创新，开创医院工作的新局面，年度任务中完成孕期保健服务和2次产后访视5次，中医药知识开展健康教育4次等目标。 </w:t>
            </w:r>
          </w:p>
        </w:tc>
      </w:tr>
      <w:tr w14:paraId="49BA14C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0A00A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1BCB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EA452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5090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B5CA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41D2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E443A">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FB59E">
            <w:pPr>
              <w:jc w:val="center"/>
            </w:pPr>
            <w:r>
              <w:rPr>
                <w:rFonts w:ascii="宋体" w:hAnsi="宋体" w:eastAsia="宋体"/>
                <w:sz w:val="16"/>
              </w:rPr>
              <w:t>得分</w:t>
            </w:r>
          </w:p>
        </w:tc>
      </w:tr>
      <w:tr w14:paraId="2629295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3334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3B67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44811">
            <w:pPr>
              <w:jc w:val="center"/>
            </w:pPr>
            <w:r>
              <w:rPr>
                <w:rFonts w:ascii="宋体" w:hAnsi="宋体" w:eastAsia="宋体"/>
                <w:sz w:val="16"/>
              </w:rPr>
              <w:t>基本公共卫生服务工作覆盖率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5F0F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05CF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AC70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79A3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0ACB9">
            <w:pPr>
              <w:jc w:val="center"/>
            </w:pPr>
            <w:r>
              <w:rPr>
                <w:rFonts w:ascii="宋体" w:hAnsi="宋体" w:eastAsia="宋体"/>
                <w:sz w:val="16"/>
              </w:rPr>
              <w:t>18</w:t>
            </w:r>
          </w:p>
        </w:tc>
      </w:tr>
      <w:tr w14:paraId="249BE9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BB6BD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438D3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E8857">
            <w:pPr>
              <w:jc w:val="center"/>
            </w:pPr>
            <w:r>
              <w:rPr>
                <w:rFonts w:ascii="宋体" w:hAnsi="宋体" w:eastAsia="宋体"/>
                <w:sz w:val="16"/>
              </w:rPr>
              <w:t>群众疫苗服务工作覆盖率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225A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743628">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6387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386C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9503D">
            <w:pPr>
              <w:jc w:val="center"/>
            </w:pPr>
            <w:r>
              <w:rPr>
                <w:rFonts w:ascii="宋体" w:hAnsi="宋体" w:eastAsia="宋体"/>
                <w:sz w:val="16"/>
              </w:rPr>
              <w:t>18</w:t>
            </w:r>
          </w:p>
        </w:tc>
      </w:tr>
      <w:tr w14:paraId="7F35F0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E370A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40A55">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4794A">
            <w:pPr>
              <w:jc w:val="center"/>
            </w:pPr>
            <w:r>
              <w:rPr>
                <w:rFonts w:ascii="宋体" w:hAnsi="宋体" w:eastAsia="宋体"/>
                <w:sz w:val="16"/>
              </w:rPr>
              <w:t>孕期保健服务和2次产后访视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89939">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47B4D">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DC9F6">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DD19E">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C1EAA">
            <w:pPr>
              <w:jc w:val="center"/>
            </w:pPr>
            <w:r>
              <w:rPr>
                <w:rFonts w:ascii="宋体" w:hAnsi="宋体" w:eastAsia="宋体"/>
                <w:sz w:val="16"/>
              </w:rPr>
              <w:t>18</w:t>
            </w:r>
          </w:p>
        </w:tc>
      </w:tr>
      <w:tr w14:paraId="695310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07D5E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895F7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2A6C6">
            <w:pPr>
              <w:jc w:val="center"/>
            </w:pPr>
            <w:r>
              <w:rPr>
                <w:rFonts w:ascii="宋体" w:hAnsi="宋体" w:eastAsia="宋体"/>
                <w:sz w:val="16"/>
              </w:rPr>
              <w:t>中医药知识开展健康教育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4DB1A9">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CC95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9EB30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6E566">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422F79">
            <w:pPr>
              <w:jc w:val="center"/>
            </w:pPr>
            <w:r>
              <w:rPr>
                <w:rFonts w:ascii="宋体" w:hAnsi="宋体" w:eastAsia="宋体"/>
                <w:sz w:val="16"/>
              </w:rPr>
              <w:t>18</w:t>
            </w:r>
          </w:p>
        </w:tc>
      </w:tr>
      <w:tr w14:paraId="4589B9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C9D7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6E2F7">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0CD7B">
            <w:pPr>
              <w:jc w:val="center"/>
            </w:pPr>
            <w:r>
              <w:rPr>
                <w:rFonts w:ascii="宋体" w:hAnsi="宋体" w:eastAsia="宋体"/>
                <w:sz w:val="16"/>
              </w:rPr>
              <w:t>群众医疗与保健工作完成及时性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E63C1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74F28">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72A7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3B0D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3CC80">
            <w:pPr>
              <w:jc w:val="center"/>
            </w:pPr>
            <w:r>
              <w:rPr>
                <w:rFonts w:ascii="宋体" w:hAnsi="宋体" w:eastAsia="宋体"/>
                <w:sz w:val="16"/>
              </w:rPr>
              <w:t>18</w:t>
            </w:r>
          </w:p>
        </w:tc>
      </w:tr>
    </w:tbl>
    <w:p w14:paraId="785C871D">
      <w:r>
        <w:br w:type="page"/>
      </w:r>
    </w:p>
    <w:p w14:paraId="49FA29FB">
      <w:pPr>
        <w:spacing w:line="640" w:lineRule="exact"/>
        <w:ind w:firstLine="640"/>
        <w:jc w:val="both"/>
        <w:outlineLvl w:val="2"/>
      </w:pPr>
      <w:r>
        <w:rPr>
          <w:rFonts w:ascii="黑体" w:hAnsi="黑体" w:eastAsia="黑体"/>
          <w:sz w:val="32"/>
        </w:rPr>
        <w:t>十二、其他需说明的事项</w:t>
      </w:r>
    </w:p>
    <w:p w14:paraId="0A38FB97">
      <w:pPr>
        <w:spacing w:line="580" w:lineRule="exact"/>
        <w:ind w:firstLine="640"/>
        <w:jc w:val="both"/>
      </w:pPr>
      <w:r>
        <w:rPr>
          <w:rFonts w:ascii="仿宋_GB2312" w:hAnsi="仿宋_GB2312" w:eastAsia="仿宋_GB2312"/>
          <w:b w:val="0"/>
          <w:sz w:val="32"/>
        </w:rPr>
        <w:t>本单位无其他需说明的事项。</w:t>
      </w:r>
    </w:p>
    <w:p w14:paraId="2ED93D3F">
      <w:r>
        <w:br w:type="page"/>
      </w:r>
    </w:p>
    <w:p w14:paraId="49F8D3F5">
      <w:pPr>
        <w:spacing w:line="240" w:lineRule="auto"/>
        <w:jc w:val="center"/>
        <w:outlineLvl w:val="1"/>
      </w:pPr>
      <w:r>
        <w:rPr>
          <w:rFonts w:ascii="黑体" w:hAnsi="黑体" w:eastAsia="黑体"/>
          <w:sz w:val="32"/>
        </w:rPr>
        <w:t>第三部分 专业名词解释</w:t>
      </w:r>
    </w:p>
    <w:p w14:paraId="279A3D3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12A853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4C97E3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BDEF5C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D05ED3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093255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EFFA76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8E121D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0A2CD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12CF18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709560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32F91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64C46C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C2D9D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81ECCE6">
      <w:r>
        <w:br w:type="page"/>
      </w:r>
    </w:p>
    <w:p w14:paraId="2015AD7C">
      <w:pPr>
        <w:spacing w:line="240" w:lineRule="auto"/>
        <w:jc w:val="center"/>
        <w:outlineLvl w:val="1"/>
      </w:pPr>
      <w:r>
        <w:rPr>
          <w:rFonts w:ascii="黑体" w:hAnsi="黑体" w:eastAsia="黑体"/>
          <w:sz w:val="32"/>
        </w:rPr>
        <w:t>第四部分 部门决算报表（见附表）</w:t>
      </w:r>
    </w:p>
    <w:p w14:paraId="1772EBA1">
      <w:pPr>
        <w:spacing w:line="240" w:lineRule="auto"/>
        <w:ind w:firstLine="640"/>
        <w:jc w:val="both"/>
      </w:pPr>
      <w:r>
        <w:rPr>
          <w:rFonts w:ascii="仿宋_GB2312" w:hAnsi="仿宋_GB2312" w:eastAsia="仿宋_GB2312"/>
          <w:b w:val="0"/>
          <w:sz w:val="32"/>
        </w:rPr>
        <w:t>一、《收入支出决算总表》</w:t>
      </w:r>
    </w:p>
    <w:p w14:paraId="24456141">
      <w:pPr>
        <w:spacing w:line="240" w:lineRule="auto"/>
        <w:ind w:firstLine="640"/>
        <w:jc w:val="both"/>
      </w:pPr>
      <w:r>
        <w:rPr>
          <w:rFonts w:ascii="仿宋_GB2312" w:hAnsi="仿宋_GB2312" w:eastAsia="仿宋_GB2312"/>
          <w:b w:val="0"/>
          <w:sz w:val="32"/>
        </w:rPr>
        <w:t>二、《收入决算表》</w:t>
      </w:r>
    </w:p>
    <w:p w14:paraId="511A59B2">
      <w:pPr>
        <w:spacing w:line="240" w:lineRule="auto"/>
        <w:ind w:firstLine="640"/>
        <w:jc w:val="both"/>
      </w:pPr>
      <w:r>
        <w:rPr>
          <w:rFonts w:ascii="仿宋_GB2312" w:hAnsi="仿宋_GB2312" w:eastAsia="仿宋_GB2312"/>
          <w:b w:val="0"/>
          <w:sz w:val="32"/>
        </w:rPr>
        <w:t>三、《支出决算表》</w:t>
      </w:r>
    </w:p>
    <w:p w14:paraId="4419B99F">
      <w:pPr>
        <w:spacing w:line="240" w:lineRule="auto"/>
        <w:ind w:firstLine="640"/>
        <w:jc w:val="both"/>
      </w:pPr>
      <w:r>
        <w:rPr>
          <w:rFonts w:ascii="仿宋_GB2312" w:hAnsi="仿宋_GB2312" w:eastAsia="仿宋_GB2312"/>
          <w:b w:val="0"/>
          <w:sz w:val="32"/>
        </w:rPr>
        <w:t>四、《财政拨款收入支出决算总表》</w:t>
      </w:r>
    </w:p>
    <w:p w14:paraId="26557492">
      <w:pPr>
        <w:spacing w:line="240" w:lineRule="auto"/>
        <w:ind w:firstLine="640"/>
        <w:jc w:val="both"/>
      </w:pPr>
      <w:r>
        <w:rPr>
          <w:rFonts w:ascii="仿宋_GB2312" w:hAnsi="仿宋_GB2312" w:eastAsia="仿宋_GB2312"/>
          <w:b w:val="0"/>
          <w:sz w:val="32"/>
        </w:rPr>
        <w:t>五、《一般公共预算财政拨款支出决算表》</w:t>
      </w:r>
    </w:p>
    <w:p w14:paraId="3654850F">
      <w:pPr>
        <w:spacing w:line="240" w:lineRule="auto"/>
        <w:ind w:firstLine="640"/>
        <w:jc w:val="both"/>
      </w:pPr>
      <w:r>
        <w:rPr>
          <w:rFonts w:ascii="仿宋_GB2312" w:hAnsi="仿宋_GB2312" w:eastAsia="仿宋_GB2312"/>
          <w:b w:val="0"/>
          <w:sz w:val="32"/>
        </w:rPr>
        <w:t>六、《一般公共预算财政拨款基本支出决算表》</w:t>
      </w:r>
    </w:p>
    <w:p w14:paraId="05F060CC">
      <w:pPr>
        <w:spacing w:line="240" w:lineRule="auto"/>
        <w:ind w:firstLine="640"/>
        <w:jc w:val="both"/>
      </w:pPr>
      <w:r>
        <w:rPr>
          <w:rFonts w:ascii="仿宋_GB2312" w:hAnsi="仿宋_GB2312" w:eastAsia="仿宋_GB2312"/>
          <w:b w:val="0"/>
          <w:sz w:val="32"/>
        </w:rPr>
        <w:t>七、《政府性基金预算财政拨款收入支出决算表》</w:t>
      </w:r>
    </w:p>
    <w:p w14:paraId="72C81620">
      <w:pPr>
        <w:spacing w:line="240" w:lineRule="auto"/>
        <w:ind w:firstLine="640"/>
        <w:jc w:val="both"/>
      </w:pPr>
      <w:r>
        <w:rPr>
          <w:rFonts w:ascii="仿宋_GB2312" w:hAnsi="仿宋_GB2312" w:eastAsia="仿宋_GB2312"/>
          <w:b w:val="0"/>
          <w:sz w:val="32"/>
        </w:rPr>
        <w:t>八、《国有资本经营预算财政拨款收入支出决算表》</w:t>
      </w:r>
    </w:p>
    <w:p w14:paraId="71B1E57F">
      <w:pPr>
        <w:spacing w:line="240" w:lineRule="auto"/>
        <w:ind w:firstLine="640"/>
        <w:jc w:val="both"/>
      </w:pPr>
      <w:r>
        <w:rPr>
          <w:rFonts w:ascii="仿宋_GB2312" w:hAnsi="仿宋_GB2312" w:eastAsia="仿宋_GB2312"/>
          <w:b w:val="0"/>
          <w:sz w:val="32"/>
        </w:rPr>
        <w:t>九、《财政拨款“三公”经费支出决算表》</w:t>
      </w:r>
    </w:p>
    <w:p w14:paraId="58B55B47">
      <w:pPr>
        <w:spacing w:line="240" w:lineRule="auto"/>
        <w:ind w:firstLine="640"/>
        <w:jc w:val="both"/>
      </w:pPr>
    </w:p>
    <w:p w14:paraId="1852DF54">
      <w:pPr>
        <w:spacing w:line="240" w:lineRule="auto"/>
        <w:ind w:firstLine="640"/>
        <w:jc w:val="both"/>
      </w:pPr>
    </w:p>
    <w:p w14:paraId="0A5447E4">
      <w:pPr>
        <w:spacing w:line="240" w:lineRule="auto"/>
        <w:ind w:firstLine="640"/>
        <w:jc w:val="both"/>
      </w:pPr>
    </w:p>
    <w:p w14:paraId="20A024C2">
      <w:pPr>
        <w:spacing w:line="240" w:lineRule="auto"/>
        <w:ind w:firstLine="640"/>
        <w:jc w:val="both"/>
      </w:pPr>
    </w:p>
    <w:p w14:paraId="5999997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846F93"/>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520A79"/>
    <w:rsid w:val="61A46A97"/>
    <w:rsid w:val="62DD7D21"/>
    <w:rsid w:val="63F441AC"/>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2641</Words>
  <Characters>3101</Characters>
  <Lines>0</Lines>
  <Paragraphs>0</Paragraphs>
  <TotalTime>6</TotalTime>
  <ScaleCrop>false</ScaleCrop>
  <LinksUpToDate>false</LinksUpToDate>
  <CharactersWithSpaces>3109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2025-09-08T08:56:35Z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