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阿图什市上阿图什镇村镇规划建设发展中心（生态环境工作站）2024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AB21DB0">
      <w:r>
        <w:br w:type="page"/>
      </w:r>
    </w:p>
    <w:p w14:paraId="6C3AC38C">
      <w:pPr>
        <w:spacing w:line="640" w:lineRule="exact"/>
        <w:jc w:val="center"/>
        <w:outlineLvl w:val="1"/>
      </w:pPr>
      <w:r>
        <w:rPr>
          <w:rFonts w:ascii="黑体" w:hAnsi="黑体" w:eastAsia="黑体"/>
          <w:sz w:val="32"/>
        </w:rPr>
        <w:t>第一部分 单位概况</w:t>
      </w:r>
    </w:p>
    <w:p w14:paraId="74BBBDEF">
      <w:pPr>
        <w:spacing w:line="640" w:lineRule="exact"/>
        <w:ind w:firstLine="640"/>
        <w:jc w:val="both"/>
        <w:outlineLvl w:val="2"/>
      </w:pPr>
      <w:r>
        <w:rPr>
          <w:rFonts w:ascii="黑体" w:hAnsi="黑体" w:eastAsia="黑体"/>
          <w:sz w:val="32"/>
        </w:rPr>
        <w:t>一、主要职能</w:t>
      </w:r>
    </w:p>
    <w:p w14:paraId="755F2A6F">
      <w:pPr>
        <w:spacing w:line="580" w:lineRule="exact"/>
        <w:ind w:firstLine="640"/>
        <w:jc w:val="both"/>
      </w:pPr>
      <w:r>
        <w:rPr>
          <w:rFonts w:ascii="仿宋_GB2312" w:hAnsi="仿宋_GB2312" w:eastAsia="仿宋_GB2312"/>
          <w:sz w:val="32"/>
        </w:rPr>
        <w:t>认真贯彻执行政策法规，完成上级下达的各项任务。负责国土资源、规划建设、园林绿化、环境保护、交通等方面的工作、协助人民政府制定国土资源、规划建设、园林绿化、环境保护、交通工作的长远规划和年度计划并组织实施贯彻落实统筹城乡发展、加快推进城乡一体化工</w:t>
      </w:r>
      <w:r>
        <w:rPr>
          <w:rFonts w:hint="eastAsia" w:ascii="仿宋_GB2312" w:hAnsi="仿宋_GB2312" w:eastAsia="仿宋_GB2312"/>
          <w:sz w:val="32"/>
          <w:lang w:eastAsia="zh-CN"/>
        </w:rPr>
        <w:t>作的</w:t>
      </w:r>
      <w:r>
        <w:rPr>
          <w:rFonts w:ascii="仿宋_GB2312" w:hAnsi="仿宋_GB2312" w:eastAsia="仿宋_GB2312"/>
          <w:sz w:val="32"/>
        </w:rPr>
        <w:t>总体部署和目标、宣传、贯彻、执行有关国土资源管理法律法规、方针、政策。依据上级土地利用总体规划，参与编制和实施本辖区内土地利用总体规划及其他专项规划。协助</w:t>
      </w:r>
      <w:r>
        <w:rPr>
          <w:rFonts w:hint="eastAsia" w:ascii="仿宋_GB2312" w:hAnsi="仿宋_GB2312" w:eastAsia="仿宋_GB2312"/>
          <w:sz w:val="32"/>
          <w:lang w:eastAsia="zh-CN"/>
        </w:rPr>
        <w:t>上级</w:t>
      </w:r>
      <w:r>
        <w:rPr>
          <w:rFonts w:ascii="仿宋_GB2312" w:hAnsi="仿宋_GB2312" w:eastAsia="仿宋_GB2312"/>
          <w:sz w:val="32"/>
        </w:rPr>
        <w:t>国土资源管理部门开展本辖区内的土地资源调查、土地分等定级、土地登记、土地统计、地籍档案管理和土地动态监测管理工作。完成上级业务主管部门和乡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14:paraId="26F5F1F4">
      <w:pPr>
        <w:spacing w:line="640" w:lineRule="exact"/>
        <w:ind w:firstLine="640"/>
        <w:jc w:val="both"/>
        <w:outlineLvl w:val="2"/>
      </w:pPr>
      <w:r>
        <w:rPr>
          <w:rFonts w:ascii="黑体" w:hAnsi="黑体" w:eastAsia="黑体"/>
          <w:sz w:val="32"/>
        </w:rPr>
        <w:t>二、机构设置及人员情况</w:t>
      </w:r>
    </w:p>
    <w:p w14:paraId="1E58960B">
      <w:pPr>
        <w:spacing w:line="580" w:lineRule="exact"/>
        <w:ind w:firstLine="640"/>
        <w:jc w:val="both"/>
      </w:pPr>
      <w:r>
        <w:rPr>
          <w:rFonts w:ascii="仿宋_GB2312" w:hAnsi="仿宋_GB2312" w:eastAsia="仿宋_GB2312"/>
          <w:sz w:val="32"/>
        </w:rPr>
        <w:t>阿图什市上阿图什镇村镇规划建设发展中心（生态环境工作站）2024年度，实有人数30人，其中：在职人员30人，增加16人；离休人员0人，增加0人；退休人员0人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14:paraId="1A096D91">
      <w:pPr>
        <w:spacing w:line="580" w:lineRule="exact"/>
        <w:ind w:firstLine="640"/>
        <w:jc w:val="both"/>
      </w:pPr>
      <w:r>
        <w:rPr>
          <w:rFonts w:ascii="仿宋_GB2312" w:hAnsi="仿宋_GB2312" w:eastAsia="仿宋_GB2312"/>
          <w:sz w:val="32"/>
        </w:rPr>
        <w:t>阿图什市上阿图什镇村镇规划建设发展中心（生态环境工作站）无下属预算单位，下设2个科室，分别是：综合办公室、调查室。</w:t>
      </w:r>
    </w:p>
    <w:p w14:paraId="12C3E7C0">
      <w:r>
        <w:br w:type="page"/>
      </w:r>
    </w:p>
    <w:p w14:paraId="17F32A7C">
      <w:pPr>
        <w:spacing w:line="240" w:lineRule="auto"/>
        <w:jc w:val="center"/>
        <w:outlineLvl w:val="1"/>
      </w:pPr>
      <w:r>
        <w:rPr>
          <w:rFonts w:ascii="黑体" w:hAnsi="黑体" w:eastAsia="黑体"/>
          <w:sz w:val="32"/>
        </w:rPr>
        <w:t>第二部分 部门决算情况说明</w:t>
      </w:r>
    </w:p>
    <w:p w14:paraId="46354FF1">
      <w:pPr>
        <w:spacing w:line="640" w:lineRule="exact"/>
        <w:ind w:firstLine="640"/>
        <w:jc w:val="both"/>
        <w:outlineLvl w:val="2"/>
      </w:pPr>
      <w:r>
        <w:rPr>
          <w:rFonts w:ascii="黑体" w:hAnsi="黑体" w:eastAsia="黑体"/>
          <w:sz w:val="32"/>
        </w:rPr>
        <w:t>一、收入支出决算总体情况说明</w:t>
      </w:r>
    </w:p>
    <w:p w14:paraId="774B57BE">
      <w:pPr>
        <w:spacing w:line="580" w:lineRule="exact"/>
        <w:ind w:firstLine="640"/>
        <w:jc w:val="both"/>
      </w:pPr>
      <w:r>
        <w:rPr>
          <w:rFonts w:ascii="仿宋_GB2312" w:hAnsi="仿宋_GB2312" w:eastAsia="仿宋_GB2312"/>
          <w:b/>
          <w:sz w:val="32"/>
        </w:rPr>
        <w:t>2024年度收入总计311.14万元，</w:t>
      </w:r>
      <w:r>
        <w:rPr>
          <w:rFonts w:ascii="仿宋_GB2312" w:hAnsi="仿宋_GB2312" w:eastAsia="仿宋_GB2312"/>
          <w:b w:val="0"/>
          <w:sz w:val="32"/>
        </w:rPr>
        <w:t>其中：本年收入合计306.76万元，使用非财政拨款结余（含专用结余）0.00万元，年初结转和结余4.38万元。</w:t>
      </w:r>
    </w:p>
    <w:p w14:paraId="48D1BD94">
      <w:pPr>
        <w:spacing w:line="580" w:lineRule="exact"/>
        <w:ind w:firstLine="640"/>
        <w:jc w:val="both"/>
      </w:pPr>
      <w:r>
        <w:rPr>
          <w:rFonts w:ascii="仿宋_GB2312" w:hAnsi="仿宋_GB2312" w:eastAsia="仿宋_GB2312"/>
          <w:b/>
          <w:sz w:val="32"/>
        </w:rPr>
        <w:t>2024年度支出总计311.14万元，</w:t>
      </w:r>
      <w:r>
        <w:rPr>
          <w:rFonts w:ascii="仿宋_GB2312" w:hAnsi="仿宋_GB2312" w:eastAsia="仿宋_GB2312"/>
          <w:b w:val="0"/>
          <w:sz w:val="32"/>
        </w:rPr>
        <w:t>其中：本年支出合计306.76万元，结余分配0.00万元，年末结转和结余4.38万元。</w:t>
      </w:r>
    </w:p>
    <w:p w14:paraId="4FED325F">
      <w:pPr>
        <w:spacing w:line="580" w:lineRule="exact"/>
        <w:ind w:firstLine="640"/>
        <w:jc w:val="both"/>
      </w:pPr>
      <w:r>
        <w:rPr>
          <w:rFonts w:ascii="仿宋_GB2312" w:hAnsi="仿宋_GB2312" w:eastAsia="仿宋_GB2312"/>
          <w:b w:val="0"/>
          <w:sz w:val="32"/>
        </w:rPr>
        <w:t>收入支出总体与上年相比，增加84.78万元，增长37.45%，主要原因是：本年在职人员增加，在职人员工资调增、社保、公积金基数调增，人员经费增加。</w:t>
      </w:r>
    </w:p>
    <w:p w14:paraId="4E98063A">
      <w:pPr>
        <w:spacing w:line="640" w:lineRule="exact"/>
        <w:ind w:firstLine="640"/>
        <w:jc w:val="both"/>
        <w:outlineLvl w:val="2"/>
      </w:pPr>
      <w:r>
        <w:rPr>
          <w:rFonts w:ascii="黑体" w:hAnsi="黑体" w:eastAsia="黑体"/>
          <w:sz w:val="32"/>
        </w:rPr>
        <w:t>二、收入决算情况说明</w:t>
      </w:r>
    </w:p>
    <w:p w14:paraId="16B2D968">
      <w:pPr>
        <w:spacing w:line="580" w:lineRule="exact"/>
        <w:ind w:firstLine="640"/>
        <w:jc w:val="both"/>
      </w:pPr>
      <w:r>
        <w:rPr>
          <w:rFonts w:ascii="仿宋_GB2312" w:hAnsi="仿宋_GB2312" w:eastAsia="仿宋_GB2312"/>
          <w:b/>
          <w:sz w:val="32"/>
        </w:rPr>
        <w:t>本年收入306.76万元，</w:t>
      </w:r>
      <w:r>
        <w:rPr>
          <w:rFonts w:ascii="仿宋_GB2312" w:hAnsi="仿宋_GB2312" w:eastAsia="仿宋_GB2312"/>
          <w:b w:val="0"/>
          <w:sz w:val="32"/>
        </w:rPr>
        <w:t>其中：财政拨款收入306.76万元，占100.00%；上级补助收入0.00万元，占0.00%；事业收入0.00万元，占0.00%；经营收入0.00万元，占0.00%；附属单位上缴收入0.00万元，占0.00%；其他收入0.00万元，占0.00%。</w:t>
      </w:r>
    </w:p>
    <w:p w14:paraId="40816371">
      <w:pPr>
        <w:spacing w:line="640" w:lineRule="exact"/>
        <w:ind w:firstLine="640"/>
        <w:jc w:val="both"/>
        <w:outlineLvl w:val="2"/>
      </w:pPr>
      <w:r>
        <w:rPr>
          <w:rFonts w:ascii="黑体" w:hAnsi="黑体" w:eastAsia="黑体"/>
          <w:sz w:val="32"/>
        </w:rPr>
        <w:t>三、支出决算情况说明</w:t>
      </w:r>
    </w:p>
    <w:p w14:paraId="0F6E42AB">
      <w:pPr>
        <w:spacing w:line="580" w:lineRule="exact"/>
        <w:ind w:firstLine="640"/>
        <w:jc w:val="both"/>
      </w:pPr>
      <w:r>
        <w:rPr>
          <w:rFonts w:ascii="仿宋_GB2312" w:hAnsi="仿宋_GB2312" w:eastAsia="仿宋_GB2312"/>
          <w:b/>
          <w:sz w:val="32"/>
        </w:rPr>
        <w:t>本年支出306.76万元，</w:t>
      </w:r>
      <w:r>
        <w:rPr>
          <w:rFonts w:ascii="仿宋_GB2312" w:hAnsi="仿宋_GB2312" w:eastAsia="仿宋_GB2312"/>
          <w:b w:val="0"/>
          <w:sz w:val="32"/>
        </w:rPr>
        <w:t>其中：基本支出306.76万元，占100.00%；项目支出0.00万元，占0.00%；上缴上级支出0.00万元，占0.00%；经营支出0.00万元，占0.00%；对附属单位补助支出0.00万元，占0.00%。</w:t>
      </w:r>
    </w:p>
    <w:p w14:paraId="72491851">
      <w:pPr>
        <w:spacing w:line="640" w:lineRule="exact"/>
        <w:ind w:firstLine="640"/>
        <w:jc w:val="both"/>
        <w:outlineLvl w:val="2"/>
      </w:pPr>
      <w:r>
        <w:rPr>
          <w:rFonts w:ascii="黑体" w:hAnsi="黑体" w:eastAsia="黑体"/>
          <w:sz w:val="32"/>
        </w:rPr>
        <w:t>四、财政拨款收入支出决算总体情况说明</w:t>
      </w:r>
    </w:p>
    <w:p w14:paraId="5386CA08">
      <w:pPr>
        <w:spacing w:line="580" w:lineRule="exact"/>
        <w:ind w:firstLine="640"/>
        <w:jc w:val="both"/>
      </w:pPr>
      <w:r>
        <w:rPr>
          <w:rFonts w:ascii="仿宋_GB2312" w:hAnsi="仿宋_GB2312" w:eastAsia="仿宋_GB2312"/>
          <w:b/>
          <w:sz w:val="32"/>
        </w:rPr>
        <w:t>2024年度财政拨款收入总计306.76万元，</w:t>
      </w:r>
      <w:r>
        <w:rPr>
          <w:rFonts w:ascii="仿宋_GB2312" w:hAnsi="仿宋_GB2312" w:eastAsia="仿宋_GB2312"/>
          <w:b w:val="0"/>
          <w:sz w:val="32"/>
        </w:rPr>
        <w:t>其中：年初财政拨款结转和结余0.00万元，本年财政拨款收入306.76万元。</w:t>
      </w:r>
      <w:r>
        <w:rPr>
          <w:rFonts w:ascii="仿宋_GB2312" w:hAnsi="仿宋_GB2312" w:eastAsia="仿宋_GB2312"/>
          <w:b/>
          <w:sz w:val="32"/>
        </w:rPr>
        <w:t>财政拨款支出总计306.76万元，</w:t>
      </w:r>
      <w:r>
        <w:rPr>
          <w:rFonts w:ascii="仿宋_GB2312" w:hAnsi="仿宋_GB2312" w:eastAsia="仿宋_GB2312"/>
          <w:b w:val="0"/>
          <w:sz w:val="32"/>
        </w:rPr>
        <w:t>其中：年末财政拨款结转和结余0.00万元，本年财政拨款支出306.76万元。</w:t>
      </w:r>
    </w:p>
    <w:p w14:paraId="59AA8CC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增加84.79万元，增长38.20%，主要原因是：本年在职人员增加，在职人员工资调增、社保、公积金基数调增，人员经费增加。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年初预算数226.80万元，决算数306.76万元，预决算差异率35.26%，主要原因是：本年在职人员增加，年中追加人员经费及人员工资、社保、公积金基数调增部分资金，导致预决算存在差异。</w:t>
      </w:r>
    </w:p>
    <w:p w14:paraId="0B9B64E2">
      <w:pPr>
        <w:spacing w:line="640" w:lineRule="exact"/>
        <w:ind w:firstLine="640"/>
        <w:jc w:val="both"/>
        <w:outlineLvl w:val="2"/>
      </w:pPr>
      <w:r>
        <w:rPr>
          <w:rFonts w:ascii="黑体" w:hAnsi="黑体" w:eastAsia="黑体"/>
          <w:sz w:val="32"/>
        </w:rPr>
        <w:t>五、一般公共预算财政拨款支出决算情况说明</w:t>
      </w:r>
    </w:p>
    <w:p w14:paraId="58BCF208">
      <w:pPr>
        <w:spacing w:line="640" w:lineRule="exact"/>
        <w:ind w:firstLine="640"/>
        <w:jc w:val="both"/>
        <w:outlineLvl w:val="3"/>
      </w:pPr>
      <w:r>
        <w:rPr>
          <w:rFonts w:ascii="楷体_GB2312" w:hAnsi="楷体_GB2312" w:eastAsia="楷体_GB2312"/>
          <w:b/>
          <w:sz w:val="32"/>
        </w:rPr>
        <w:t>（一）一般公共预算财政拨款支出决算总体情况</w:t>
      </w:r>
    </w:p>
    <w:p w14:paraId="69C4FA8C">
      <w:pPr>
        <w:spacing w:line="580" w:lineRule="exact"/>
        <w:ind w:firstLine="640"/>
        <w:jc w:val="both"/>
      </w:pPr>
      <w:r>
        <w:rPr>
          <w:rFonts w:ascii="仿宋_GB2312" w:hAnsi="仿宋_GB2312" w:eastAsia="仿宋_GB2312"/>
          <w:b/>
          <w:sz w:val="32"/>
        </w:rPr>
        <w:t>2024年度一般公共预算财政拨款支出306.76万元，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增加84.79万元，增长38.20%，主要原因是：本年在职人员增加，在职人员工资调增、社保、公积金基数调增，人员经费增加。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年初预算数226.80万元，决算数306.76万元，预决算差异率35.26%，主要原因是：本年在职人员增加，年中追加人员经费及人员工资、社保、公积金基数调增部分资金，导致预决算存在差异。</w:t>
      </w:r>
    </w:p>
    <w:p w14:paraId="51DD35D6">
      <w:pPr>
        <w:spacing w:line="640" w:lineRule="exact"/>
        <w:ind w:firstLine="640"/>
        <w:jc w:val="both"/>
        <w:outlineLvl w:val="3"/>
      </w:pPr>
      <w:r>
        <w:rPr>
          <w:rFonts w:ascii="楷体_GB2312" w:hAnsi="楷体_GB2312" w:eastAsia="楷体_GB2312"/>
          <w:b/>
          <w:sz w:val="32"/>
        </w:rPr>
        <w:t>（二）一般公共预算财政拨款支出决算结构情况</w:t>
      </w:r>
    </w:p>
    <w:p w14:paraId="581723CC">
      <w:pPr>
        <w:spacing w:line="580" w:lineRule="exact"/>
        <w:ind w:firstLine="640"/>
        <w:jc w:val="both"/>
      </w:pPr>
      <w:r>
        <w:rPr>
          <w:rFonts w:ascii="仿宋_GB2312" w:hAnsi="仿宋_GB2312" w:eastAsia="仿宋_GB2312"/>
          <w:b w:val="0"/>
          <w:sz w:val="32"/>
        </w:rPr>
        <w:t>1.社会保障和就业支出(类)29.97万元</w:t>
      </w:r>
      <w:r>
        <w:rPr>
          <w:rFonts w:hint="eastAsia" w:ascii="仿宋_GB2312" w:hAnsi="仿宋_GB2312" w:eastAsia="仿宋_GB2312"/>
          <w:b w:val="0"/>
          <w:sz w:val="32"/>
          <w:lang w:eastAsia="zh-CN"/>
        </w:rPr>
        <w:t>，</w:t>
      </w:r>
      <w:r>
        <w:rPr>
          <w:rFonts w:ascii="仿宋_GB2312" w:hAnsi="仿宋_GB2312" w:eastAsia="仿宋_GB2312"/>
          <w:b w:val="0"/>
          <w:sz w:val="32"/>
        </w:rPr>
        <w:t>占9.77%。</w:t>
      </w:r>
    </w:p>
    <w:p w14:paraId="663D44B6">
      <w:pPr>
        <w:spacing w:line="580" w:lineRule="exact"/>
        <w:ind w:firstLine="640"/>
        <w:jc w:val="both"/>
      </w:pPr>
      <w:r>
        <w:rPr>
          <w:rFonts w:ascii="仿宋_GB2312" w:hAnsi="仿宋_GB2312" w:eastAsia="仿宋_GB2312"/>
          <w:b w:val="0"/>
          <w:sz w:val="32"/>
        </w:rPr>
        <w:t>2.卫生健康支出(类)9.77万元</w:t>
      </w:r>
      <w:r>
        <w:rPr>
          <w:rFonts w:hint="eastAsia" w:ascii="仿宋_GB2312" w:hAnsi="仿宋_GB2312" w:eastAsia="仿宋_GB2312"/>
          <w:b w:val="0"/>
          <w:sz w:val="32"/>
          <w:lang w:eastAsia="zh-CN"/>
        </w:rPr>
        <w:t>，</w:t>
      </w:r>
      <w:r>
        <w:rPr>
          <w:rFonts w:ascii="仿宋_GB2312" w:hAnsi="仿宋_GB2312" w:eastAsia="仿宋_GB2312"/>
          <w:b w:val="0"/>
          <w:sz w:val="32"/>
        </w:rPr>
        <w:t>占3.18%。</w:t>
      </w:r>
    </w:p>
    <w:p w14:paraId="1DE5712E">
      <w:pPr>
        <w:spacing w:line="580" w:lineRule="exact"/>
        <w:ind w:firstLine="640"/>
        <w:jc w:val="both"/>
      </w:pPr>
      <w:r>
        <w:rPr>
          <w:rFonts w:ascii="仿宋_GB2312" w:hAnsi="仿宋_GB2312" w:eastAsia="仿宋_GB2312"/>
          <w:b w:val="0"/>
          <w:sz w:val="32"/>
        </w:rPr>
        <w:t>3.自然资源海洋气象等支出(类)242.82万元</w:t>
      </w:r>
      <w:r>
        <w:rPr>
          <w:rFonts w:hint="eastAsia" w:ascii="仿宋_GB2312" w:hAnsi="仿宋_GB2312" w:eastAsia="仿宋_GB2312"/>
          <w:b w:val="0"/>
          <w:sz w:val="32"/>
          <w:lang w:eastAsia="zh-CN"/>
        </w:rPr>
        <w:t>，</w:t>
      </w:r>
      <w:r>
        <w:rPr>
          <w:rFonts w:ascii="仿宋_GB2312" w:hAnsi="仿宋_GB2312" w:eastAsia="仿宋_GB2312"/>
          <w:b w:val="0"/>
          <w:sz w:val="32"/>
        </w:rPr>
        <w:t>占79.16%。</w:t>
      </w:r>
    </w:p>
    <w:p w14:paraId="595AD7AE">
      <w:pPr>
        <w:spacing w:line="580" w:lineRule="exact"/>
        <w:ind w:firstLine="640"/>
        <w:jc w:val="both"/>
      </w:pPr>
      <w:r>
        <w:rPr>
          <w:rFonts w:ascii="仿宋_GB2312" w:hAnsi="仿宋_GB2312" w:eastAsia="仿宋_GB2312"/>
          <w:b w:val="0"/>
          <w:sz w:val="32"/>
        </w:rPr>
        <w:t>4.住房保障支出(类)24.20万元</w:t>
      </w:r>
      <w:r>
        <w:rPr>
          <w:rFonts w:hint="eastAsia" w:ascii="仿宋_GB2312" w:hAnsi="仿宋_GB2312" w:eastAsia="仿宋_GB2312"/>
          <w:b w:val="0"/>
          <w:sz w:val="32"/>
          <w:lang w:eastAsia="zh-CN"/>
        </w:rPr>
        <w:t>，</w:t>
      </w:r>
      <w:r>
        <w:rPr>
          <w:rFonts w:ascii="仿宋_GB2312" w:hAnsi="仿宋_GB2312" w:eastAsia="仿宋_GB2312"/>
          <w:b w:val="0"/>
          <w:sz w:val="32"/>
        </w:rPr>
        <w:t>占7.89%。</w:t>
      </w:r>
    </w:p>
    <w:p w14:paraId="01CF28BE">
      <w:pPr>
        <w:spacing w:line="640" w:lineRule="exact"/>
        <w:ind w:firstLine="640"/>
        <w:jc w:val="both"/>
        <w:outlineLvl w:val="3"/>
      </w:pPr>
      <w:r>
        <w:rPr>
          <w:rFonts w:ascii="楷体_GB2312" w:hAnsi="楷体_GB2312" w:eastAsia="楷体_GB2312"/>
          <w:b/>
          <w:sz w:val="32"/>
        </w:rPr>
        <w:t>（三）一般公共预算财政拨款支出决算具体情况</w:t>
      </w:r>
    </w:p>
    <w:p w14:paraId="5BDBB10F">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w:t>
      </w:r>
      <w:bookmarkStart w:id="0" w:name="_GoBack"/>
      <w:r>
        <w:rPr>
          <w:rFonts w:hint="eastAsia" w:ascii="仿宋_GB2312" w:hAnsi="仿宋_GB2312" w:eastAsia="仿宋_GB2312"/>
          <w:b w:val="0"/>
          <w:sz w:val="32"/>
          <w:lang w:eastAsia="zh-CN"/>
        </w:rPr>
        <w:t>：</w:t>
      </w:r>
      <w:bookmarkEnd w:id="0"/>
      <w:r>
        <w:rPr>
          <w:rFonts w:ascii="仿宋_GB2312" w:hAnsi="仿宋_GB2312" w:eastAsia="仿宋_GB2312"/>
          <w:b w:val="0"/>
          <w:sz w:val="32"/>
        </w:rPr>
        <w:t>支出决算数为29.97万元，比上年决算增加9.20万元，增长44.29%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主要原因是：本年在职人员增加，养老保险缴费较上年增加。</w:t>
      </w:r>
    </w:p>
    <w:p w14:paraId="643691D6">
      <w:pPr>
        <w:spacing w:line="580" w:lineRule="exact"/>
        <w:ind w:firstLine="640"/>
        <w:jc w:val="both"/>
      </w:pPr>
      <w:r>
        <w:rPr>
          <w:rFonts w:ascii="仿宋_GB2312" w:hAnsi="仿宋_GB2312" w:eastAsia="仿宋_GB2312"/>
          <w:b w:val="0"/>
          <w:sz w:val="32"/>
        </w:rPr>
        <w:t>2.卫生健康支出(类)行政事业单位医疗(款)事业单位医疗(项)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支出决算数为9.77万元，比上年决算增加3.84万元，增长64.76%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主要原因是：本年在职人员增加，事业单位医疗支出较上年增加。</w:t>
      </w:r>
    </w:p>
    <w:p w14:paraId="08590D60">
      <w:pPr>
        <w:spacing w:line="580" w:lineRule="exact"/>
        <w:ind w:firstLine="640"/>
        <w:jc w:val="both"/>
      </w:pPr>
      <w:r>
        <w:rPr>
          <w:rFonts w:ascii="仿宋_GB2312" w:hAnsi="仿宋_GB2312" w:eastAsia="仿宋_GB2312"/>
          <w:b w:val="0"/>
          <w:sz w:val="32"/>
        </w:rPr>
        <w:t>3.自然资源海洋气象等支出(类)自然资源事务(款)其他自然资源事务支出(项)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支出决算数为242.82万元，比上年决算增加64.28万元，增长36.00%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主要原因是：本年在职人员增加，相关人员经费增加。</w:t>
      </w:r>
    </w:p>
    <w:p w14:paraId="3428535E">
      <w:pPr>
        <w:spacing w:line="580" w:lineRule="exact"/>
        <w:ind w:firstLine="640"/>
        <w:jc w:val="both"/>
      </w:pPr>
      <w:r>
        <w:rPr>
          <w:rFonts w:ascii="仿宋_GB2312" w:hAnsi="仿宋_GB2312" w:eastAsia="仿宋_GB2312"/>
          <w:b w:val="0"/>
          <w:sz w:val="32"/>
        </w:rPr>
        <w:t>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支出决算数为24.20万元，比上年决算增加7.46万元，增长44.56%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主要原因是：本年在职人员增加，住房公积金支出较上年增加。</w:t>
      </w:r>
    </w:p>
    <w:p w14:paraId="78321266">
      <w:pPr>
        <w:spacing w:line="640" w:lineRule="exact"/>
        <w:ind w:firstLine="640"/>
        <w:jc w:val="both"/>
        <w:outlineLvl w:val="2"/>
      </w:pPr>
      <w:r>
        <w:rPr>
          <w:rFonts w:ascii="黑体" w:hAnsi="黑体" w:eastAsia="黑体"/>
          <w:sz w:val="32"/>
        </w:rPr>
        <w:t>六、一般公共预算财政拨款基本支出决算情况说明</w:t>
      </w:r>
    </w:p>
    <w:p w14:paraId="56993695">
      <w:pPr>
        <w:spacing w:line="580" w:lineRule="exact"/>
        <w:ind w:firstLine="640"/>
        <w:jc w:val="both"/>
      </w:pPr>
      <w:r>
        <w:rPr>
          <w:rFonts w:ascii="仿宋_GB2312" w:hAnsi="仿宋_GB2312" w:eastAsia="仿宋_GB2312"/>
          <w:b w:val="0"/>
          <w:sz w:val="32"/>
        </w:rPr>
        <w:t>2024年度一般公共预算财政拨款基本支出306.76万元，其中：</w:t>
      </w:r>
      <w:r>
        <w:rPr>
          <w:rFonts w:ascii="仿宋_GB2312" w:hAnsi="仿宋_GB2312" w:eastAsia="仿宋_GB2312"/>
          <w:b/>
          <w:sz w:val="32"/>
        </w:rPr>
        <w:t>人员经费304.39万元，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0E13AA99">
      <w:pPr>
        <w:spacing w:line="580" w:lineRule="exact"/>
        <w:ind w:firstLine="640"/>
        <w:jc w:val="both"/>
      </w:pPr>
      <w:r>
        <w:rPr>
          <w:rFonts w:ascii="仿宋_GB2312" w:hAnsi="仿宋_GB2312" w:eastAsia="仿宋_GB2312"/>
          <w:b/>
          <w:sz w:val="32"/>
        </w:rPr>
        <w:t>公用经费2.37万元，</w:t>
      </w:r>
      <w:r>
        <w:rPr>
          <w:rFonts w:ascii="仿宋_GB2312" w:hAnsi="仿宋_GB2312" w:eastAsia="仿宋_GB2312"/>
          <w:b w:val="0"/>
          <w:sz w:val="32"/>
        </w:rPr>
        <w:t>包括：电费、邮电费、取暖费。</w:t>
      </w:r>
    </w:p>
    <w:p w14:paraId="4E45F17C">
      <w:pPr>
        <w:spacing w:line="640" w:lineRule="exact"/>
        <w:ind w:firstLine="640"/>
        <w:jc w:val="both"/>
        <w:outlineLvl w:val="2"/>
      </w:pPr>
      <w:r>
        <w:rPr>
          <w:rFonts w:ascii="黑体" w:hAnsi="黑体" w:eastAsia="黑体"/>
          <w:sz w:val="32"/>
        </w:rPr>
        <w:t>七、政府性基金预算财政拨款收入支出决算情况说明</w:t>
      </w:r>
    </w:p>
    <w:p w14:paraId="1C1F80E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FAC494F">
      <w:pPr>
        <w:spacing w:line="640" w:lineRule="exact"/>
        <w:ind w:firstLine="640"/>
        <w:jc w:val="both"/>
        <w:outlineLvl w:val="2"/>
      </w:pPr>
      <w:r>
        <w:rPr>
          <w:rFonts w:ascii="黑体" w:hAnsi="黑体" w:eastAsia="黑体"/>
          <w:sz w:val="32"/>
        </w:rPr>
        <w:t>八、国有资本经营预算财政拨款收入支出决算情况说明</w:t>
      </w:r>
    </w:p>
    <w:p w14:paraId="54D5502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66B90E0">
      <w:pPr>
        <w:spacing w:line="640" w:lineRule="exact"/>
        <w:ind w:firstLine="640"/>
        <w:jc w:val="both"/>
        <w:outlineLvl w:val="2"/>
      </w:pPr>
      <w:r>
        <w:rPr>
          <w:rFonts w:ascii="黑体" w:hAnsi="黑体" w:eastAsia="黑体"/>
          <w:sz w:val="32"/>
        </w:rPr>
        <w:t>九、财政拨款“三公”经费支出决算情况说明</w:t>
      </w:r>
    </w:p>
    <w:p w14:paraId="5ED28D1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49BE13D">
      <w:pPr>
        <w:spacing w:line="580" w:lineRule="exact"/>
        <w:ind w:firstLine="640"/>
        <w:jc w:val="both"/>
      </w:pPr>
      <w:r>
        <w:rPr>
          <w:rFonts w:ascii="仿宋_GB2312" w:hAnsi="仿宋_GB2312" w:eastAsia="仿宋_GB2312"/>
          <w:b/>
          <w:sz w:val="32"/>
        </w:rPr>
        <w:t>具体情况如下：</w:t>
      </w:r>
    </w:p>
    <w:p w14:paraId="7CFB884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DAC83F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D03BB7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29528F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F52C8DC">
      <w:pPr>
        <w:spacing w:line="640" w:lineRule="exact"/>
        <w:ind w:firstLine="640"/>
        <w:jc w:val="both"/>
        <w:outlineLvl w:val="2"/>
      </w:pPr>
      <w:r>
        <w:rPr>
          <w:rFonts w:ascii="黑体" w:hAnsi="黑体" w:eastAsia="黑体"/>
          <w:sz w:val="32"/>
        </w:rPr>
        <w:t>十、其他重要事项的情况说明</w:t>
      </w:r>
    </w:p>
    <w:p w14:paraId="10C09165">
      <w:pPr>
        <w:spacing w:line="640" w:lineRule="exact"/>
        <w:ind w:firstLine="640"/>
        <w:jc w:val="both"/>
        <w:outlineLvl w:val="3"/>
      </w:pPr>
      <w:r>
        <w:rPr>
          <w:rFonts w:ascii="楷体_GB2312" w:hAnsi="楷体_GB2312" w:eastAsia="楷体_GB2312"/>
          <w:b/>
          <w:sz w:val="32"/>
        </w:rPr>
        <w:t>（一）机关运行经费及公用经费支出情况</w:t>
      </w:r>
    </w:p>
    <w:p w14:paraId="6FA5B6FD">
      <w:pPr>
        <w:spacing w:line="580" w:lineRule="exact"/>
        <w:ind w:firstLine="640"/>
        <w:jc w:val="both"/>
      </w:pPr>
      <w:r>
        <w:rPr>
          <w:rFonts w:ascii="仿宋_GB2312" w:hAnsi="仿宋_GB2312" w:eastAsia="仿宋_GB2312"/>
          <w:b w:val="0"/>
          <w:sz w:val="32"/>
        </w:rPr>
        <w:t>2024年度阿图什市上阿图什镇村镇规划建设发展中心（生态环境工作站）（事业单位）公用经费支出2.37万元，比上年减少0.13万元，下降5.20%，主要原因是：严格控制公用经费，合理节约办公用品，减少不必要开支。</w:t>
      </w:r>
    </w:p>
    <w:p w14:paraId="0C1E17AA">
      <w:pPr>
        <w:spacing w:line="640" w:lineRule="exact"/>
        <w:ind w:firstLine="640"/>
        <w:jc w:val="both"/>
        <w:outlineLvl w:val="3"/>
      </w:pPr>
      <w:r>
        <w:rPr>
          <w:rFonts w:ascii="楷体_GB2312" w:hAnsi="楷体_GB2312" w:eastAsia="楷体_GB2312"/>
          <w:b/>
          <w:sz w:val="32"/>
        </w:rPr>
        <w:t>（二）政府采购情况</w:t>
      </w:r>
    </w:p>
    <w:p w14:paraId="6422BCE5">
      <w:pPr>
        <w:spacing w:line="580" w:lineRule="exact"/>
        <w:ind w:firstLine="640"/>
        <w:jc w:val="both"/>
      </w:pPr>
      <w:r>
        <w:rPr>
          <w:rFonts w:ascii="仿宋_GB2312" w:hAnsi="仿宋_GB2312" w:eastAsia="仿宋_GB2312"/>
          <w:b w:val="0"/>
          <w:sz w:val="32"/>
        </w:rPr>
        <w:t>2024年度政府采购支出总额0.27万元，其中：政府采购货物支出0.27万元、政府采购工程支出0.00万元、政府采购服务支出0.00万元。</w:t>
      </w:r>
    </w:p>
    <w:p w14:paraId="11544B56">
      <w:pPr>
        <w:spacing w:line="580" w:lineRule="exact"/>
        <w:ind w:firstLine="640"/>
        <w:jc w:val="both"/>
      </w:pPr>
      <w:r>
        <w:rPr>
          <w:rFonts w:ascii="仿宋_GB2312" w:hAnsi="仿宋_GB2312" w:eastAsia="仿宋_GB2312"/>
          <w:b w:val="0"/>
          <w:sz w:val="32"/>
        </w:rPr>
        <w:t>授予中小企业合同金额0.27万元，占政府采购支出总额的100.00%，其中：授予小微企业合同金额0.27万元，占政府采购支出总额的100.00%。</w:t>
      </w:r>
    </w:p>
    <w:p w14:paraId="7F2C01D0">
      <w:pPr>
        <w:spacing w:line="640" w:lineRule="exact"/>
        <w:ind w:firstLine="640"/>
        <w:jc w:val="both"/>
        <w:outlineLvl w:val="3"/>
      </w:pPr>
      <w:r>
        <w:rPr>
          <w:rFonts w:ascii="楷体_GB2312" w:hAnsi="楷体_GB2312" w:eastAsia="楷体_GB2312"/>
          <w:b/>
          <w:sz w:val="32"/>
        </w:rPr>
        <w:t>（三）国有资产占用情况说明</w:t>
      </w:r>
    </w:p>
    <w:p w14:paraId="0DA599DB">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128ACE2">
      <w:pPr>
        <w:spacing w:line="640" w:lineRule="exact"/>
        <w:ind w:firstLine="640"/>
        <w:jc w:val="both"/>
        <w:outlineLvl w:val="2"/>
      </w:pPr>
      <w:r>
        <w:rPr>
          <w:rFonts w:ascii="黑体" w:hAnsi="黑体" w:eastAsia="黑体"/>
          <w:sz w:val="32"/>
        </w:rPr>
        <w:t>十一、预算绩效的情况说明</w:t>
      </w:r>
    </w:p>
    <w:p w14:paraId="17B8E2D8">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项目。发现的问题及原因：本单位无绩效自评项目。下一步改进措施：本单位无绩效自评项目。</w:t>
      </w:r>
    </w:p>
    <w:p w14:paraId="3AFD163D">
      <w:r>
        <w:br w:type="page"/>
      </w:r>
    </w:p>
    <w:p w14:paraId="3431CBC3">
      <w:pPr>
        <w:spacing w:line="640" w:lineRule="exact"/>
        <w:ind w:firstLine="640"/>
        <w:jc w:val="both"/>
        <w:outlineLvl w:val="2"/>
      </w:pPr>
      <w:r>
        <w:rPr>
          <w:rFonts w:ascii="黑体" w:hAnsi="黑体" w:eastAsia="黑体"/>
          <w:sz w:val="32"/>
        </w:rPr>
        <w:t>十二、其他需说明的事项</w:t>
      </w:r>
    </w:p>
    <w:p w14:paraId="3AB2B85E">
      <w:pPr>
        <w:spacing w:line="580" w:lineRule="exact"/>
        <w:ind w:firstLine="640"/>
        <w:jc w:val="both"/>
      </w:pPr>
      <w:r>
        <w:rPr>
          <w:rFonts w:ascii="仿宋_GB2312" w:hAnsi="仿宋_GB2312" w:eastAsia="仿宋_GB2312"/>
          <w:b w:val="0"/>
          <w:sz w:val="32"/>
        </w:rPr>
        <w:t>本年度本单位整体绩效自评表由</w:t>
      </w:r>
      <w:r>
        <w:rPr>
          <w:rFonts w:hint="eastAsia" w:ascii="仿宋_GB2312" w:hAnsi="仿宋_GB2312" w:eastAsia="仿宋_GB2312"/>
          <w:b w:val="0"/>
          <w:sz w:val="32"/>
        </w:rPr>
        <w:t>阿图什市上阿图什镇人民政府</w:t>
      </w:r>
      <w:r>
        <w:rPr>
          <w:rFonts w:ascii="仿宋_GB2312" w:hAnsi="仿宋_GB2312" w:eastAsia="仿宋_GB2312"/>
          <w:b w:val="0"/>
          <w:sz w:val="32"/>
        </w:rPr>
        <w:t>编报并公开。</w:t>
      </w:r>
    </w:p>
    <w:p w14:paraId="73C1D38F">
      <w:r>
        <w:br w:type="page"/>
      </w:r>
    </w:p>
    <w:p w14:paraId="4DAE6D9B">
      <w:pPr>
        <w:spacing w:line="240" w:lineRule="auto"/>
        <w:jc w:val="center"/>
        <w:outlineLvl w:val="1"/>
      </w:pPr>
      <w:r>
        <w:rPr>
          <w:rFonts w:ascii="黑体" w:hAnsi="黑体" w:eastAsia="黑体"/>
          <w:sz w:val="32"/>
        </w:rPr>
        <w:t>第三部分 专业名词解释</w:t>
      </w:r>
    </w:p>
    <w:p w14:paraId="246C5D9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F69EE4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0C05FF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4BB917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026EF0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4F721E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9E9971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09EFB6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33695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34F629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DFB2A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9411EA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9DFC6D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62140F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F16A688">
      <w:r>
        <w:br w:type="page"/>
      </w:r>
    </w:p>
    <w:p w14:paraId="6DA85A85">
      <w:pPr>
        <w:spacing w:line="240" w:lineRule="auto"/>
        <w:jc w:val="center"/>
        <w:outlineLvl w:val="1"/>
      </w:pPr>
      <w:r>
        <w:rPr>
          <w:rFonts w:ascii="黑体" w:hAnsi="黑体" w:eastAsia="黑体"/>
          <w:sz w:val="32"/>
        </w:rPr>
        <w:t>第四部分 部门决算报表（见附表）</w:t>
      </w:r>
    </w:p>
    <w:p w14:paraId="1F58DE2F">
      <w:pPr>
        <w:spacing w:line="240" w:lineRule="auto"/>
        <w:ind w:firstLine="640"/>
        <w:jc w:val="both"/>
      </w:pPr>
      <w:r>
        <w:rPr>
          <w:rFonts w:ascii="仿宋_GB2312" w:hAnsi="仿宋_GB2312" w:eastAsia="仿宋_GB2312"/>
          <w:b w:val="0"/>
          <w:sz w:val="32"/>
        </w:rPr>
        <w:t>一、《收入支出决算总表》</w:t>
      </w:r>
    </w:p>
    <w:p w14:paraId="5AEA4550">
      <w:pPr>
        <w:spacing w:line="240" w:lineRule="auto"/>
        <w:ind w:firstLine="640"/>
        <w:jc w:val="both"/>
      </w:pPr>
      <w:r>
        <w:rPr>
          <w:rFonts w:ascii="仿宋_GB2312" w:hAnsi="仿宋_GB2312" w:eastAsia="仿宋_GB2312"/>
          <w:b w:val="0"/>
          <w:sz w:val="32"/>
        </w:rPr>
        <w:t>二、《收入决算表》</w:t>
      </w:r>
    </w:p>
    <w:p w14:paraId="0A93CD7F">
      <w:pPr>
        <w:spacing w:line="240" w:lineRule="auto"/>
        <w:ind w:firstLine="640"/>
        <w:jc w:val="both"/>
      </w:pPr>
      <w:r>
        <w:rPr>
          <w:rFonts w:ascii="仿宋_GB2312" w:hAnsi="仿宋_GB2312" w:eastAsia="仿宋_GB2312"/>
          <w:b w:val="0"/>
          <w:sz w:val="32"/>
        </w:rPr>
        <w:t>三、《支出决算表》</w:t>
      </w:r>
    </w:p>
    <w:p w14:paraId="14B004D2">
      <w:pPr>
        <w:spacing w:line="240" w:lineRule="auto"/>
        <w:ind w:firstLine="640"/>
        <w:jc w:val="both"/>
      </w:pPr>
      <w:r>
        <w:rPr>
          <w:rFonts w:ascii="仿宋_GB2312" w:hAnsi="仿宋_GB2312" w:eastAsia="仿宋_GB2312"/>
          <w:b w:val="0"/>
          <w:sz w:val="32"/>
        </w:rPr>
        <w:t>四、《财政拨款收入支出决算总表》</w:t>
      </w:r>
    </w:p>
    <w:p w14:paraId="52CD959B">
      <w:pPr>
        <w:spacing w:line="240" w:lineRule="auto"/>
        <w:ind w:firstLine="640"/>
        <w:jc w:val="both"/>
      </w:pPr>
      <w:r>
        <w:rPr>
          <w:rFonts w:ascii="仿宋_GB2312" w:hAnsi="仿宋_GB2312" w:eastAsia="仿宋_GB2312"/>
          <w:b w:val="0"/>
          <w:sz w:val="32"/>
        </w:rPr>
        <w:t>五、《一般公共预算财政拨款支出决算表》</w:t>
      </w:r>
    </w:p>
    <w:p w14:paraId="012BA484">
      <w:pPr>
        <w:spacing w:line="240" w:lineRule="auto"/>
        <w:ind w:firstLine="640"/>
        <w:jc w:val="both"/>
      </w:pPr>
      <w:r>
        <w:rPr>
          <w:rFonts w:ascii="仿宋_GB2312" w:hAnsi="仿宋_GB2312" w:eastAsia="仿宋_GB2312"/>
          <w:b w:val="0"/>
          <w:sz w:val="32"/>
        </w:rPr>
        <w:t>六、《一般公共预算财政拨款基本支出决算表》</w:t>
      </w:r>
    </w:p>
    <w:p w14:paraId="37AE8A7B">
      <w:pPr>
        <w:spacing w:line="240" w:lineRule="auto"/>
        <w:ind w:firstLine="640"/>
        <w:jc w:val="both"/>
      </w:pPr>
      <w:r>
        <w:rPr>
          <w:rFonts w:ascii="仿宋_GB2312" w:hAnsi="仿宋_GB2312" w:eastAsia="仿宋_GB2312"/>
          <w:b w:val="0"/>
          <w:sz w:val="32"/>
        </w:rPr>
        <w:t>七、《政府性基金预算财政拨款收入支出决算表》</w:t>
      </w:r>
    </w:p>
    <w:p w14:paraId="55A8D97A">
      <w:pPr>
        <w:spacing w:line="240" w:lineRule="auto"/>
        <w:ind w:firstLine="640"/>
        <w:jc w:val="both"/>
      </w:pPr>
      <w:r>
        <w:rPr>
          <w:rFonts w:ascii="仿宋_GB2312" w:hAnsi="仿宋_GB2312" w:eastAsia="仿宋_GB2312"/>
          <w:b w:val="0"/>
          <w:sz w:val="32"/>
        </w:rPr>
        <w:t>八、《国有资本经营预算财政拨款收入支出决算表》</w:t>
      </w:r>
    </w:p>
    <w:p w14:paraId="33BC170B">
      <w:pPr>
        <w:spacing w:line="240" w:lineRule="auto"/>
        <w:ind w:firstLine="640"/>
        <w:jc w:val="both"/>
      </w:pPr>
      <w:r>
        <w:rPr>
          <w:rFonts w:ascii="仿宋_GB2312" w:hAnsi="仿宋_GB2312" w:eastAsia="仿宋_GB2312"/>
          <w:b w:val="0"/>
          <w:sz w:val="32"/>
        </w:rPr>
        <w:t>九、《财政拨款“三公”经费支出决算表》</w:t>
      </w:r>
    </w:p>
    <w:p w14:paraId="7B08F106">
      <w:pPr>
        <w:spacing w:line="240" w:lineRule="auto"/>
        <w:ind w:firstLine="640"/>
        <w:jc w:val="both"/>
      </w:pPr>
    </w:p>
    <w:p w14:paraId="2B837DEA">
      <w:pPr>
        <w:spacing w:line="240" w:lineRule="auto"/>
        <w:ind w:firstLine="640"/>
        <w:jc w:val="both"/>
      </w:pPr>
    </w:p>
    <w:p w14:paraId="426BD278">
      <w:pPr>
        <w:spacing w:line="240" w:lineRule="auto"/>
        <w:ind w:firstLine="640"/>
        <w:jc w:val="both"/>
      </w:pPr>
    </w:p>
    <w:p w14:paraId="6B1558D3">
      <w:pPr>
        <w:spacing w:line="240" w:lineRule="auto"/>
        <w:ind w:firstLine="640"/>
        <w:jc w:val="both"/>
      </w:pPr>
    </w:p>
    <w:p w14:paraId="3C97F1F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D0F53EA-EE3B-498F-8C01-E29F3683303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F9D1EA3-02FD-4A33-9B4A-E086AAF15EBF}"/>
  </w:font>
  <w:font w:name="仿宋_GB2312">
    <w:panose1 w:val="02010609030101010101"/>
    <w:charset w:val="86"/>
    <w:family w:val="modern"/>
    <w:pitch w:val="default"/>
    <w:sig w:usb0="00000001" w:usb1="080E0000" w:usb2="00000000" w:usb3="00000000" w:csb0="00040000" w:csb1="00000000"/>
    <w:embedRegular r:id="rId3" w:fontKey="{B9C6F376-5BB3-46AA-BF0E-28A5D88539DC}"/>
  </w:font>
  <w:font w:name="楷体_GB2312">
    <w:altName w:val="楷体"/>
    <w:panose1 w:val="00000000000000000000"/>
    <w:charset w:val="00"/>
    <w:family w:val="auto"/>
    <w:pitch w:val="default"/>
    <w:sig w:usb0="00000000" w:usb1="00000000" w:usb2="00000000" w:usb3="00000000" w:csb0="00000000" w:csb1="00000000"/>
    <w:embedRegular r:id="rId4" w:fontKey="{E3D891A5-A3A9-4464-93E3-18448D2F37B3}"/>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88E486E"/>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7C5742"/>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3E7FCF"/>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4933</Words>
  <Characters>5505</Characters>
  <Lines>0</Lines>
  <Paragraphs>0</Paragraphs>
  <TotalTime>4</TotalTime>
  <ScaleCrop>false</ScaleCrop>
  <LinksUpToDate>false</LinksUpToDate>
  <CharactersWithSpaces>5515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2025-09-08T04:31:03Z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