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认真贯彻执行政策法规，完成上级下达的各项任务。负责国土资源、规划建设、园林绿化、环境保护、交通等方面的工作、协助人民政府制定国土资源、规划建设、园林绿化、环境保护、交通工作的长远规划和年度计划并组织实施贯彻落实统筹城乡发展、加快推进城乡一体化工</w:t>
      </w:r>
      <w:r>
        <w:rPr>
          <w:rFonts w:hint="eastAsia" w:ascii="仿宋_GB2312" w:hAnsi="仿宋_GB2312" w:eastAsia="仿宋_GB2312"/>
          <w:sz w:val="32"/>
          <w:lang w:eastAsia="zh-CN"/>
        </w:rPr>
        <w:t>作的</w:t>
      </w:r>
      <w:r>
        <w:rPr>
          <w:rFonts w:ascii="仿宋_GB2312" w:hAnsi="仿宋_GB2312" w:eastAsia="仿宋_GB2312"/>
          <w:sz w:val="32"/>
        </w:rPr>
        <w:t>总体部署和目标、宣传、贯彻、执行有关国土资源管理法律法规、方针、政策。依据上级土地利用总体规划，参与编制和实施本辖区内土地利用总体规划及其他专项规划。协助</w:t>
      </w:r>
      <w:r>
        <w:rPr>
          <w:rFonts w:hint="eastAsia" w:ascii="仿宋_GB2312" w:hAnsi="仿宋_GB2312" w:eastAsia="仿宋_GB2312"/>
          <w:sz w:val="32"/>
          <w:lang w:eastAsia="zh-CN"/>
        </w:rPr>
        <w:t>上级</w:t>
      </w:r>
      <w:r>
        <w:rPr>
          <w:rFonts w:ascii="仿宋_GB2312" w:hAnsi="仿宋_GB2312" w:eastAsia="仿宋_GB2312"/>
          <w:sz w:val="32"/>
        </w:rPr>
        <w:t>国土资源管理部门开展本辖区内的土地资源调查、土地分等定级、土地登记、土地统计、地籍档案管理和土地动态监测管理工作。完成上级业务主管部门和乡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阿图什市上阿图什镇村镇规划建设发展中心（生态环境工作站）2024年度，实有人数30人，其中：在职人员30人，增加16人；离休人员0人，增加0人；退休人员0人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阿图什市上阿图什镇村镇规划建设发展中心（生态环境工作站）无下属预算单位，下设2个科室，分别是：综合办公室、调查室。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2024年度收入总计311.14万元，</w:t>
      </w:r>
      <w:r>
        <w:rPr>
          <w:rFonts w:ascii="仿宋_GB2312" w:hAnsi="仿宋_GB2312" w:eastAsia="仿宋_GB2312"/>
          <w:b w:val="0"/>
          <w:sz w:val="32"/>
        </w:rPr>
        <w:t>其中：本年收入合计306.76万元，使用非财政拨款结余（含专用结余）0.00万元，年初结转和结余4.38万元。</w:t>
      </w:r>
    </w:p>
    <w:p>
      <w:pPr>
        <w:spacing w:line="580" w:lineRule="exact"/>
        <w:ind w:firstLine="640"/>
        <w:jc w:val="both"/>
      </w:pPr>
      <w:r>
        <w:rPr>
          <w:rFonts w:ascii="仿宋_GB2312" w:hAnsi="仿宋_GB2312" w:eastAsia="仿宋_GB2312"/>
          <w:b/>
          <w:sz w:val="32"/>
        </w:rPr>
        <w:t>2024年度支出总计311.14万元，</w:t>
      </w:r>
      <w:r>
        <w:rPr>
          <w:rFonts w:ascii="仿宋_GB2312" w:hAnsi="仿宋_GB2312" w:eastAsia="仿宋_GB2312"/>
          <w:b w:val="0"/>
          <w:sz w:val="32"/>
        </w:rPr>
        <w:t>其中：本年支出合计306.76万元，结余分配0.00万元，年末结转和结余4.38万元。</w:t>
      </w:r>
    </w:p>
    <w:p>
      <w:pPr>
        <w:spacing w:line="580" w:lineRule="exact"/>
        <w:ind w:firstLine="640"/>
        <w:jc w:val="both"/>
      </w:pPr>
      <w:r>
        <w:rPr>
          <w:rFonts w:ascii="仿宋_GB2312" w:hAnsi="仿宋_GB2312" w:eastAsia="仿宋_GB2312"/>
          <w:b w:val="0"/>
          <w:sz w:val="32"/>
        </w:rPr>
        <w:t>收入支出总体与上年相比，增加84.78万元，增长37.45%，主要原因是：本年在职人员增加，在职人员工资调增、社保、公积金基数调增，人员经费增加。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本年收入306.76万元，</w:t>
      </w:r>
      <w:r>
        <w:rPr>
          <w:rFonts w:ascii="仿宋_GB2312" w:hAnsi="仿宋_GB2312" w:eastAsia="仿宋_GB2312"/>
          <w:b w:val="0"/>
          <w:sz w:val="32"/>
        </w:rPr>
        <w:t>其中：财政拨款收入306.76万元，占100.00%；上级补助收入0.00万元，占0.00%；事业收入0.00万元，占0.00%；经营收入0.00万元，占0.00%；附属单位上缴收入0.00万元，占0.00%；其他收入0.00万元，占0.00%。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本年支出306.76万元，</w:t>
      </w:r>
      <w:r>
        <w:rPr>
          <w:rFonts w:ascii="仿宋_GB2312" w:hAnsi="仿宋_GB2312" w:eastAsia="仿宋_GB2312"/>
          <w:b w:val="0"/>
          <w:sz w:val="32"/>
        </w:rPr>
        <w:t>其中：基本支出306.76万元，占100.00%；项目支出0.00万元，占0.00%；上缴上级支出0.00万元，占0.00%；经营支出0.00万元，占0.00%；对附属单位补助支出0.00万元，占0.00%。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2024年度财政拨款收入总计306.76万元，</w:t>
      </w:r>
      <w:r>
        <w:rPr>
          <w:rFonts w:ascii="仿宋_GB2312" w:hAnsi="仿宋_GB2312" w:eastAsia="仿宋_GB2312"/>
          <w:b w:val="0"/>
          <w:sz w:val="32"/>
        </w:rPr>
        <w:t>其中：年初财政拨款结转和结余0.00万元，本年财政拨款收入306.76万元。</w:t>
      </w:r>
      <w:r>
        <w:rPr>
          <w:rFonts w:ascii="仿宋_GB2312" w:hAnsi="仿宋_GB2312" w:eastAsia="仿宋_GB2312"/>
          <w:b/>
          <w:sz w:val="32"/>
        </w:rPr>
        <w:t>财政拨款支出总计306.76万元，</w:t>
      </w:r>
      <w:r>
        <w:rPr>
          <w:rFonts w:ascii="仿宋_GB2312" w:hAnsi="仿宋_GB2312" w:eastAsia="仿宋_GB2312"/>
          <w:b w:val="0"/>
          <w:sz w:val="32"/>
        </w:rPr>
        <w:t>其中：年末财政拨款结转和结余0.00万元，本年财政拨款支出306.76万元。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增加84.79万元，增长38.20%，主要原因是：本年在职人员增加，在职人员工资调增、社保、公积金基数调增，人员经费增加。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年初预算数226.80万元，决算数306.76万元，预决算差异率35.26%，主要原因是：本年在职人员增加，年中追加人员经费及人员工资、社保、公积金基数调增部分资金，导致预决算存在差异。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2024年度一般公共预算财政拨款支出306.76万元，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增加84.79万元，增长38.20%，主要原因是：本年在职人员增加，在职人员工资调增、社保、公积金基数调增，人员经费增加。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年初预算数226.80万元，决算数306.76万元，预决算差异率35.26%，主要原因是：本年在职人员增加，年中追加人员经费及人员工资、社保、公积金基数调增部分资金，导致预决算存在差异。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1.社会保障和就业支出(类)29.97万元</w:t>
      </w:r>
      <w:r>
        <w:rPr>
          <w:rFonts w:hint="eastAsia" w:ascii="仿宋_GB2312" w:hAnsi="仿宋_GB2312" w:eastAsia="仿宋_GB2312"/>
          <w:b w:val="0"/>
          <w:sz w:val="32"/>
          <w:lang w:eastAsia="zh-CN"/>
        </w:rPr>
        <w:t>，</w:t>
      </w:r>
      <w:r>
        <w:rPr>
          <w:rFonts w:ascii="仿宋_GB2312" w:hAnsi="仿宋_GB2312" w:eastAsia="仿宋_GB2312"/>
          <w:b w:val="0"/>
          <w:sz w:val="32"/>
        </w:rPr>
        <w:t>占9.77%。</w:t>
      </w:r>
    </w:p>
    <w:p>
      <w:pPr>
        <w:spacing w:line="580" w:lineRule="exact"/>
        <w:ind w:firstLine="640"/>
        <w:jc w:val="both"/>
      </w:pPr>
      <w:r>
        <w:rPr>
          <w:rFonts w:ascii="仿宋_GB2312" w:hAnsi="仿宋_GB2312" w:eastAsia="仿宋_GB2312"/>
          <w:b w:val="0"/>
          <w:sz w:val="32"/>
        </w:rPr>
        <w:t>2.卫生健康支出(类)9.77万元</w:t>
      </w:r>
      <w:r>
        <w:rPr>
          <w:rFonts w:hint="eastAsia" w:ascii="仿宋_GB2312" w:hAnsi="仿宋_GB2312" w:eastAsia="仿宋_GB2312"/>
          <w:b w:val="0"/>
          <w:sz w:val="32"/>
          <w:lang w:eastAsia="zh-CN"/>
        </w:rPr>
        <w:t>，</w:t>
      </w:r>
      <w:r>
        <w:rPr>
          <w:rFonts w:ascii="仿宋_GB2312" w:hAnsi="仿宋_GB2312" w:eastAsia="仿宋_GB2312"/>
          <w:b w:val="0"/>
          <w:sz w:val="32"/>
        </w:rPr>
        <w:t>占3.18%。</w:t>
      </w:r>
    </w:p>
    <w:p>
      <w:pPr>
        <w:spacing w:line="580" w:lineRule="exact"/>
        <w:ind w:firstLine="640"/>
        <w:jc w:val="both"/>
      </w:pPr>
      <w:r>
        <w:rPr>
          <w:rFonts w:ascii="仿宋_GB2312" w:hAnsi="仿宋_GB2312" w:eastAsia="仿宋_GB2312"/>
          <w:b w:val="0"/>
          <w:sz w:val="32"/>
        </w:rPr>
        <w:t>3.自然资源海洋气象等支出(类)242.82万元</w:t>
      </w:r>
      <w:r>
        <w:rPr>
          <w:rFonts w:hint="eastAsia" w:ascii="仿宋_GB2312" w:hAnsi="仿宋_GB2312" w:eastAsia="仿宋_GB2312"/>
          <w:b w:val="0"/>
          <w:sz w:val="32"/>
          <w:lang w:eastAsia="zh-CN"/>
        </w:rPr>
        <w:t>，</w:t>
      </w:r>
      <w:r>
        <w:rPr>
          <w:rFonts w:ascii="仿宋_GB2312" w:hAnsi="仿宋_GB2312" w:eastAsia="仿宋_GB2312"/>
          <w:b w:val="0"/>
          <w:sz w:val="32"/>
        </w:rPr>
        <w:t>占79.16%。</w:t>
      </w:r>
    </w:p>
    <w:p>
      <w:pPr>
        <w:spacing w:line="580" w:lineRule="exact"/>
        <w:ind w:firstLine="640"/>
        <w:jc w:val="both"/>
      </w:pPr>
      <w:r>
        <w:rPr>
          <w:rFonts w:ascii="仿宋_GB2312" w:hAnsi="仿宋_GB2312" w:eastAsia="仿宋_GB2312"/>
          <w:b w:val="0"/>
          <w:sz w:val="32"/>
        </w:rPr>
        <w:t>4.住房保障支出(类)24.20万元</w:t>
      </w:r>
      <w:r>
        <w:rPr>
          <w:rFonts w:hint="eastAsia" w:ascii="仿宋_GB2312" w:hAnsi="仿宋_GB2312" w:eastAsia="仿宋_GB2312"/>
          <w:b w:val="0"/>
          <w:sz w:val="32"/>
          <w:lang w:eastAsia="zh-CN"/>
        </w:rPr>
        <w:t>，</w:t>
      </w:r>
      <w:r>
        <w:rPr>
          <w:rFonts w:ascii="仿宋_GB2312" w:hAnsi="仿宋_GB2312" w:eastAsia="仿宋_GB2312"/>
          <w:b w:val="0"/>
          <w:sz w:val="32"/>
        </w:rPr>
        <w:t>占7.89%。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支出决算数为29.97万元，比上年决算增加9.20万元，增长44.29%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支出决算数为9.77万元，比上年决算增加3.84万元，增长64.76%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3.自然资源海洋气象等支出(类)自然资源事务(款)其他自然资源事务支出(项)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支出决算数为242.82万元，比上年决算增加64.28万元，增长36.00%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主要原因是：本年在职人员增加，相关人员经费增加。</w:t>
      </w:r>
    </w:p>
    <w:p>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支出决算数为24.20万元，比上年决算增加7.46万元，增长44.56%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2024年度一般公共预算财政拨款基本支出306.76万元，其中：</w:t>
      </w:r>
      <w:r>
        <w:rPr>
          <w:rFonts w:ascii="仿宋_GB2312" w:hAnsi="仿宋_GB2312" w:eastAsia="仿宋_GB2312"/>
          <w:b/>
          <w:sz w:val="32"/>
        </w:rPr>
        <w:t>人员经费304.39万元，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公用经费2.37万元，</w:t>
      </w:r>
      <w:r>
        <w:rPr>
          <w:rFonts w:ascii="仿宋_GB2312" w:hAnsi="仿宋_GB2312" w:eastAsia="仿宋_GB2312"/>
          <w:b w:val="0"/>
          <w:sz w:val="32"/>
        </w:rPr>
        <w:t>包括：电费、邮电费、取暖费。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上阿图什镇村镇规划建设发展中心（生态环境工作站）（事业单位）公用经费支出2.37万元，比上年减少0.13万元，下降5.20%，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2024年度政府采购支出总额0.27万元，其中：政府采购货物支出0.27万元、政府采购工程支出0.00万元、政府采购服务支出0.00万元。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授予中小企业合同金额0.27万元，占政府采购支出总额的100.00%，其中：授予小微企业合同金额0.27万元，占政府采购支出总额的100.00%。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w:t>
      </w:r>
      <w:r>
        <w:rPr>
          <w:rFonts w:hint="eastAsia" w:ascii="仿宋_GB2312" w:hAnsi="仿宋_GB2312" w:eastAsia="仿宋_GB2312"/>
          <w:b w:val="0"/>
          <w:sz w:val="32"/>
        </w:rPr>
        <w:t>阿图什市上阿图什镇人民政府</w:t>
      </w:r>
      <w:r>
        <w:rPr>
          <w:rFonts w:ascii="仿宋_GB2312" w:hAnsi="仿宋_GB2312" w:eastAsia="仿宋_GB2312"/>
          <w:b w:val="0"/>
          <w:sz w:val="32"/>
        </w:rPr>
        <w:t>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155667-C899-4EC9-9C86-3DFD3FA198E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637D89EC-340F-4D06-982F-BD1407974557}"/>
  </w:font>
  <w:font w:name="仿宋_GB2312">
    <w:panose1 w:val="02010609030101010101"/>
    <w:charset w:val="86"/>
    <w:family w:val="modern"/>
    <w:pitch w:val="default"/>
    <w:sig w:usb0="00000001" w:usb1="080E0000" w:usb2="00000000" w:usb3="00000000" w:csb0="00040000" w:csb1="00000000"/>
    <w:embedRegular r:id="rId3" w:fontKey="{6F0745A9-7A14-4BF8-BCAA-CD61AEE3130C}"/>
  </w:font>
  <w:font w:name="楷体_GB2312">
    <w:panose1 w:val="02010609030101010101"/>
    <w:charset w:val="86"/>
    <w:family w:val="auto"/>
    <w:pitch w:val="default"/>
    <w:sig w:usb0="00000001" w:usb1="080E0000" w:usb2="00000000" w:usb3="00000000" w:csb0="00040000" w:csb1="00000000"/>
    <w:embedRegular r:id="rId4" w:fontKey="{AFC7E6CE-AC15-4E40-B4C0-4C9757331EC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8E486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7C5742"/>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58650B"/>
    <w:rsid w:val="74CE04EC"/>
    <w:rsid w:val="74E76DCD"/>
    <w:rsid w:val="76660D7C"/>
    <w:rsid w:val="77ED6F44"/>
    <w:rsid w:val="783E7FCF"/>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4933</Words>
  <Characters>5505</Characters>
  <Lines>0</Lines>
  <Paragraphs>0</Paragraphs>
  <TotalTime>4</TotalTime>
  <ScaleCrop>false</ScaleCrop>
  <LinksUpToDate>false</LinksUpToDate>
  <CharactersWithSpaces>5515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2025-09-19T12:40:54Z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