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中共阿图什市委员会机构编制委员会办公室2024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D3FBABF">
      <w:r>
        <w:br w:type="page"/>
      </w:r>
    </w:p>
    <w:p w14:paraId="76AA6069">
      <w:pPr>
        <w:spacing w:line="640" w:lineRule="exact"/>
        <w:jc w:val="center"/>
        <w:outlineLvl w:val="1"/>
      </w:pPr>
      <w:r>
        <w:rPr>
          <w:rFonts w:ascii="黑体" w:hAnsi="黑体" w:eastAsia="黑体"/>
          <w:sz w:val="32"/>
        </w:rPr>
        <w:t>第一部分 单位概况</w:t>
      </w:r>
    </w:p>
    <w:p w14:paraId="4B77EE6D">
      <w:pPr>
        <w:spacing w:line="640" w:lineRule="exact"/>
        <w:ind w:firstLine="640"/>
        <w:jc w:val="both"/>
        <w:outlineLvl w:val="2"/>
      </w:pPr>
      <w:r>
        <w:rPr>
          <w:rFonts w:ascii="黑体" w:hAnsi="黑体" w:eastAsia="黑体"/>
          <w:sz w:val="32"/>
        </w:rPr>
        <w:t>一、主要职能</w:t>
      </w:r>
    </w:p>
    <w:p w14:paraId="7E45EF4C">
      <w:pPr>
        <w:spacing w:line="580" w:lineRule="exact"/>
        <w:ind w:firstLine="640"/>
        <w:jc w:val="both"/>
      </w:pPr>
      <w:r>
        <w:rPr>
          <w:rFonts w:ascii="仿宋_GB2312" w:hAnsi="仿宋_GB2312" w:eastAsia="仿宋_GB2312"/>
          <w:sz w:val="32"/>
        </w:rPr>
        <w:t>（一）贯彻执行党中央、国务院和自治区、自治州党委、人民政府关于行政管理体制改革、机构改革和机构编制管理的方针、政策、法规。</w:t>
      </w:r>
    </w:p>
    <w:p w14:paraId="6B87A50F">
      <w:pPr>
        <w:spacing w:line="580" w:lineRule="exact"/>
        <w:ind w:firstLine="640"/>
        <w:jc w:val="both"/>
      </w:pPr>
      <w:r>
        <w:rPr>
          <w:rFonts w:ascii="仿宋_GB2312" w:hAnsi="仿宋_GB2312" w:eastAsia="仿宋_GB2312"/>
          <w:sz w:val="32"/>
        </w:rPr>
        <w:t>（二）统一管理全市党政机关，人大、政协、法院、各民主党派、人民团体机关及事业单位的机构编制工作。</w:t>
      </w:r>
    </w:p>
    <w:p w14:paraId="58140E0D">
      <w:pPr>
        <w:spacing w:line="580" w:lineRule="exact"/>
        <w:ind w:firstLine="640"/>
        <w:jc w:val="both"/>
      </w:pPr>
      <w:r>
        <w:rPr>
          <w:rFonts w:ascii="仿宋_GB2312" w:hAnsi="仿宋_GB2312" w:eastAsia="仿宋_GB2312"/>
          <w:sz w:val="32"/>
        </w:rPr>
        <w:t>（三）研究拟定全市行政管理体制改革与机构改革的总体方案，并组织实施。审核阿图什市党政机关，人大、政协、法院、各民主党派和人民团体机关、乡镇（街道）机构改革规定。</w:t>
      </w:r>
    </w:p>
    <w:p w14:paraId="406D5A74">
      <w:pPr>
        <w:spacing w:line="580" w:lineRule="exact"/>
        <w:ind w:firstLine="640"/>
        <w:jc w:val="both"/>
      </w:pPr>
      <w:r>
        <w:rPr>
          <w:rFonts w:ascii="仿宋_GB2312" w:hAnsi="仿宋_GB2312" w:eastAsia="仿宋_GB2312"/>
          <w:sz w:val="32"/>
        </w:rPr>
        <w:t>（四)协调全市党政机关各部门职能配置及其调整。研究拟定市直各单位有关事权划分和职责分工的意见。</w:t>
      </w:r>
    </w:p>
    <w:p w14:paraId="4CB69605">
      <w:pPr>
        <w:spacing w:line="580" w:lineRule="exact"/>
        <w:ind w:firstLine="640"/>
        <w:jc w:val="both"/>
      </w:pPr>
      <w:r>
        <w:rPr>
          <w:rFonts w:ascii="仿宋_GB2312" w:hAnsi="仿宋_GB2312" w:eastAsia="仿宋_GB2312"/>
          <w:sz w:val="32"/>
        </w:rPr>
        <w:t>（五）审核阿图什市党政机关、事业单位机构设置和人员编制、领导职数。</w:t>
      </w:r>
    </w:p>
    <w:p w14:paraId="0319654E">
      <w:pPr>
        <w:spacing w:line="580" w:lineRule="exact"/>
        <w:ind w:firstLine="640"/>
        <w:jc w:val="both"/>
      </w:pPr>
      <w:r>
        <w:rPr>
          <w:rFonts w:ascii="仿宋_GB2312" w:hAnsi="仿宋_GB2312" w:eastAsia="仿宋_GB2312"/>
          <w:sz w:val="32"/>
        </w:rPr>
        <w:t>（六）研究拟定全市事业单位分类改革方案和事业单位机构编制管理的政策、法规和规章；研究拟定全市各类事业单位的机构编制标准；审核或审批市直属及市级机关各部门所属事业单位的机构编制；负责事业单位机构编制管理方面的其他重要事项。</w:t>
      </w:r>
    </w:p>
    <w:p w14:paraId="45F373FE">
      <w:pPr>
        <w:spacing w:line="580" w:lineRule="exact"/>
        <w:ind w:firstLine="640"/>
        <w:jc w:val="both"/>
      </w:pPr>
      <w:r>
        <w:rPr>
          <w:rFonts w:ascii="仿宋_GB2312" w:hAnsi="仿宋_GB2312" w:eastAsia="仿宋_GB2312"/>
          <w:sz w:val="32"/>
        </w:rPr>
        <w:t>（七）负责全市事业单位登记管理工作，贯彻执行事业单位登记管理办法，依法对全市事业单位登记管理工作进行监督检查。负责行政机关、群众团体统一社会信用代码证的核发、变更和相关工作。</w:t>
      </w:r>
    </w:p>
    <w:p w14:paraId="5FD410EE">
      <w:pPr>
        <w:spacing w:line="580" w:lineRule="exact"/>
        <w:ind w:firstLine="640"/>
        <w:jc w:val="both"/>
      </w:pPr>
      <w:r>
        <w:rPr>
          <w:rFonts w:ascii="仿宋_GB2312" w:hAnsi="仿宋_GB2312" w:eastAsia="仿宋_GB2312"/>
          <w:sz w:val="32"/>
        </w:rPr>
        <w:t>（八）研究经济社会发展中涉及有关体制机制及社会管理创新等方面重大问题并提出对策建议。</w:t>
      </w:r>
    </w:p>
    <w:p w14:paraId="5E5655EB">
      <w:pPr>
        <w:spacing w:line="580" w:lineRule="exact"/>
        <w:ind w:firstLine="640"/>
        <w:jc w:val="both"/>
      </w:pPr>
      <w:r>
        <w:rPr>
          <w:rFonts w:ascii="仿宋_GB2312" w:hAnsi="仿宋_GB2312" w:eastAsia="仿宋_GB2312"/>
          <w:sz w:val="32"/>
        </w:rPr>
        <w:t>（九）负责全市党政群机关、事业单位机构编制实名制管理及统计工作。开展好机构编制电子政务和信息化建设工作。指导和规范党政群机关、事业单位网上中文域名注册管理工作。</w:t>
      </w:r>
    </w:p>
    <w:p w14:paraId="063A5AC5">
      <w:pPr>
        <w:spacing w:line="580" w:lineRule="exact"/>
        <w:ind w:firstLine="640"/>
        <w:jc w:val="both"/>
      </w:pPr>
      <w:r>
        <w:rPr>
          <w:rFonts w:ascii="仿宋_GB2312" w:hAnsi="仿宋_GB2312" w:eastAsia="仿宋_GB2312"/>
          <w:sz w:val="32"/>
        </w:rPr>
        <w:t>（十）负责行政管理体制改革、机构改革、机构编制管理的理论研究和信息收集工作。</w:t>
      </w:r>
    </w:p>
    <w:p w14:paraId="5C5FDF29">
      <w:pPr>
        <w:spacing w:line="580" w:lineRule="exact"/>
        <w:ind w:firstLine="640"/>
        <w:jc w:val="both"/>
      </w:pPr>
      <w:r>
        <w:rPr>
          <w:rFonts w:ascii="仿宋_GB2312" w:hAnsi="仿宋_GB2312" w:eastAsia="仿宋_GB2312"/>
          <w:sz w:val="32"/>
        </w:rPr>
        <w:t>（十一）完成阿图什市委、阿图什市人民政府和机构编制委员会交办的其他工作任务。</w:t>
      </w:r>
    </w:p>
    <w:p w14:paraId="044FDBB2">
      <w:pPr>
        <w:spacing w:line="640" w:lineRule="exact"/>
        <w:ind w:firstLine="640"/>
        <w:jc w:val="both"/>
        <w:outlineLvl w:val="2"/>
      </w:pPr>
      <w:r>
        <w:rPr>
          <w:rFonts w:ascii="黑体" w:hAnsi="黑体" w:eastAsia="黑体"/>
          <w:sz w:val="32"/>
        </w:rPr>
        <w:t>二、机构设置及人员情况</w:t>
      </w:r>
    </w:p>
    <w:p w14:paraId="6CB06CC6">
      <w:pPr>
        <w:spacing w:line="580" w:lineRule="exact"/>
        <w:ind w:firstLine="640"/>
        <w:jc w:val="both"/>
      </w:pPr>
      <w:r>
        <w:rPr>
          <w:rFonts w:ascii="仿宋_GB2312" w:hAnsi="仿宋_GB2312" w:eastAsia="仿宋_GB2312"/>
          <w:sz w:val="32"/>
        </w:rPr>
        <w:t>中共阿图什市委员会机构编制委员会办公室2024年度，实有人数15人，其中：在职人员11人，减少1人；离休人员0人，增加0人；退休人员4人,增加0人。</w:t>
      </w:r>
    </w:p>
    <w:p w14:paraId="15D60979">
      <w:pPr>
        <w:spacing w:line="580" w:lineRule="exact"/>
        <w:ind w:firstLine="640"/>
        <w:jc w:val="both"/>
      </w:pPr>
      <w:r>
        <w:rPr>
          <w:rFonts w:ascii="仿宋_GB2312" w:hAnsi="仿宋_GB2312" w:eastAsia="仿宋_GB2312"/>
          <w:sz w:val="32"/>
        </w:rPr>
        <w:t>中共阿图什市委员会机构编制委员会办公室无下属预算单位，下设3个科室，分别是：综合科、机关事业科、机关和事业单位登记管理局。</w:t>
      </w:r>
    </w:p>
    <w:p w14:paraId="590C0B68">
      <w:r>
        <w:br w:type="page"/>
      </w:r>
    </w:p>
    <w:p w14:paraId="6084D082">
      <w:pPr>
        <w:spacing w:line="240" w:lineRule="auto"/>
        <w:jc w:val="center"/>
        <w:outlineLvl w:val="1"/>
      </w:pPr>
      <w:r>
        <w:rPr>
          <w:rFonts w:ascii="黑体" w:hAnsi="黑体" w:eastAsia="黑体"/>
          <w:sz w:val="32"/>
        </w:rPr>
        <w:t>第二部分 部门决算情况说明</w:t>
      </w:r>
    </w:p>
    <w:p w14:paraId="0CF9B5C6">
      <w:pPr>
        <w:spacing w:line="640" w:lineRule="exact"/>
        <w:ind w:firstLine="640"/>
        <w:jc w:val="both"/>
        <w:outlineLvl w:val="2"/>
      </w:pPr>
      <w:r>
        <w:rPr>
          <w:rFonts w:ascii="黑体" w:hAnsi="黑体" w:eastAsia="黑体"/>
          <w:sz w:val="32"/>
        </w:rPr>
        <w:t>一、收入支出决算总体情况说明</w:t>
      </w:r>
    </w:p>
    <w:p w14:paraId="7AD7F303">
      <w:pPr>
        <w:spacing w:line="580" w:lineRule="exact"/>
        <w:ind w:firstLine="640"/>
        <w:jc w:val="both"/>
      </w:pPr>
      <w:r>
        <w:rPr>
          <w:rFonts w:ascii="仿宋_GB2312" w:hAnsi="仿宋_GB2312" w:eastAsia="仿宋_GB2312"/>
          <w:b/>
          <w:sz w:val="32"/>
        </w:rPr>
        <w:t>2024年度收入总计212.27万元，</w:t>
      </w:r>
      <w:r>
        <w:rPr>
          <w:rFonts w:ascii="仿宋_GB2312" w:hAnsi="仿宋_GB2312" w:eastAsia="仿宋_GB2312"/>
          <w:b w:val="0"/>
          <w:sz w:val="32"/>
        </w:rPr>
        <w:t>其中：本年收入合计211.75万元，使用非财政拨款结余（含专用结余）0.00万元，年初结转和结余0.52万元。</w:t>
      </w:r>
    </w:p>
    <w:p w14:paraId="52B9F68C">
      <w:pPr>
        <w:spacing w:line="580" w:lineRule="exact"/>
        <w:ind w:firstLine="640"/>
        <w:jc w:val="both"/>
      </w:pPr>
      <w:r>
        <w:rPr>
          <w:rFonts w:ascii="仿宋_GB2312" w:hAnsi="仿宋_GB2312" w:eastAsia="仿宋_GB2312"/>
          <w:b/>
          <w:sz w:val="32"/>
        </w:rPr>
        <w:t>2024年度支出总计212.27万元，</w:t>
      </w:r>
      <w:r>
        <w:rPr>
          <w:rFonts w:ascii="仿宋_GB2312" w:hAnsi="仿宋_GB2312" w:eastAsia="仿宋_GB2312"/>
          <w:b w:val="0"/>
          <w:sz w:val="32"/>
        </w:rPr>
        <w:t>其中：本年支出合计211.79万元，结余分配0.00万元，年末结转和结余0.49万元。</w:t>
      </w:r>
    </w:p>
    <w:p w14:paraId="694511D5">
      <w:pPr>
        <w:spacing w:line="580" w:lineRule="exact"/>
        <w:ind w:firstLine="640"/>
        <w:jc w:val="both"/>
      </w:pPr>
      <w:r>
        <w:rPr>
          <w:rFonts w:ascii="仿宋_GB2312" w:hAnsi="仿宋_GB2312" w:eastAsia="仿宋_GB2312"/>
          <w:b w:val="0"/>
          <w:sz w:val="32"/>
        </w:rPr>
        <w:t>收入支出总体与上年相比，增加5.35万元，增长2.59%，主要原因是：本年在职人员工资调增，社保、公积金基数调增，人员经费增加。</w:t>
      </w:r>
    </w:p>
    <w:p w14:paraId="74C227CB">
      <w:pPr>
        <w:spacing w:line="640" w:lineRule="exact"/>
        <w:ind w:firstLine="640"/>
        <w:jc w:val="both"/>
        <w:outlineLvl w:val="2"/>
      </w:pPr>
      <w:r>
        <w:rPr>
          <w:rFonts w:ascii="黑体" w:hAnsi="黑体" w:eastAsia="黑体"/>
          <w:sz w:val="32"/>
        </w:rPr>
        <w:t>二、收入决算情况说明</w:t>
      </w:r>
    </w:p>
    <w:p w14:paraId="1A16815D">
      <w:pPr>
        <w:spacing w:line="580" w:lineRule="exact"/>
        <w:ind w:firstLine="640"/>
        <w:jc w:val="both"/>
      </w:pPr>
      <w:r>
        <w:rPr>
          <w:rFonts w:ascii="仿宋_GB2312" w:hAnsi="仿宋_GB2312" w:eastAsia="仿宋_GB2312"/>
          <w:b/>
          <w:sz w:val="32"/>
        </w:rPr>
        <w:t>本年收入211.75万元，</w:t>
      </w:r>
      <w:r>
        <w:rPr>
          <w:rFonts w:ascii="仿宋_GB2312" w:hAnsi="仿宋_GB2312" w:eastAsia="仿宋_GB2312"/>
          <w:b w:val="0"/>
          <w:sz w:val="32"/>
        </w:rPr>
        <w:t>其中：财政拨款收入211.75万元，占100.00%；上级补助收入0.00万元，占0.00%；事业收入0.00万元，占0.00%；经营收入0.00万元，占0.00%；附属单位上缴收入0.00万元，占0.00%；其他收入0.00万元，占0.00%。</w:t>
      </w:r>
    </w:p>
    <w:p w14:paraId="6658A4D2">
      <w:pPr>
        <w:spacing w:line="640" w:lineRule="exact"/>
        <w:ind w:firstLine="640"/>
        <w:jc w:val="both"/>
        <w:outlineLvl w:val="2"/>
      </w:pPr>
      <w:r>
        <w:rPr>
          <w:rFonts w:ascii="黑体" w:hAnsi="黑体" w:eastAsia="黑体"/>
          <w:sz w:val="32"/>
        </w:rPr>
        <w:t>三、支出决算情况说明</w:t>
      </w:r>
    </w:p>
    <w:p w14:paraId="13BF3C6A">
      <w:pPr>
        <w:spacing w:line="580" w:lineRule="exact"/>
        <w:ind w:firstLine="640"/>
        <w:jc w:val="both"/>
      </w:pPr>
      <w:r>
        <w:rPr>
          <w:rFonts w:ascii="仿宋_GB2312" w:hAnsi="仿宋_GB2312" w:eastAsia="仿宋_GB2312"/>
          <w:b/>
          <w:sz w:val="32"/>
        </w:rPr>
        <w:t>本年支出211.79万元，</w:t>
      </w:r>
      <w:r>
        <w:rPr>
          <w:rFonts w:ascii="仿宋_GB2312" w:hAnsi="仿宋_GB2312" w:eastAsia="仿宋_GB2312"/>
          <w:b w:val="0"/>
          <w:sz w:val="32"/>
        </w:rPr>
        <w:t>其中：基本支出211.79万元，占100.00%；项目支出0.00万元，占0.00%；上缴上级支出0.00万元，占0.00%；经营支出0.00万元，占0.00%；对附属单位补助支出0.00万元，占0.00%。</w:t>
      </w:r>
    </w:p>
    <w:p w14:paraId="20F1D3E1">
      <w:pPr>
        <w:spacing w:line="640" w:lineRule="exact"/>
        <w:ind w:firstLine="640"/>
        <w:jc w:val="both"/>
        <w:outlineLvl w:val="2"/>
      </w:pPr>
      <w:r>
        <w:rPr>
          <w:rFonts w:ascii="黑体" w:hAnsi="黑体" w:eastAsia="黑体"/>
          <w:sz w:val="32"/>
        </w:rPr>
        <w:t>四、财政拨款收入支出决算总体情况说明</w:t>
      </w:r>
    </w:p>
    <w:p w14:paraId="60A3552A">
      <w:pPr>
        <w:spacing w:line="580" w:lineRule="exact"/>
        <w:ind w:firstLine="640"/>
        <w:jc w:val="both"/>
      </w:pPr>
      <w:r>
        <w:rPr>
          <w:rFonts w:ascii="仿宋_GB2312" w:hAnsi="仿宋_GB2312" w:eastAsia="仿宋_GB2312"/>
          <w:b/>
          <w:sz w:val="32"/>
        </w:rPr>
        <w:t>2024年度财政拨款收入总计211.75万元，</w:t>
      </w:r>
      <w:r>
        <w:rPr>
          <w:rFonts w:ascii="仿宋_GB2312" w:hAnsi="仿宋_GB2312" w:eastAsia="仿宋_GB2312"/>
          <w:b w:val="0"/>
          <w:sz w:val="32"/>
        </w:rPr>
        <w:t>其中：年初财政拨款结转和结余0.00万元，本年财政拨款收入211.75万元。</w:t>
      </w:r>
      <w:r>
        <w:rPr>
          <w:rFonts w:ascii="仿宋_GB2312" w:hAnsi="仿宋_GB2312" w:eastAsia="仿宋_GB2312"/>
          <w:b/>
          <w:sz w:val="32"/>
        </w:rPr>
        <w:t>财政拨款支出总计211.75万元，</w:t>
      </w:r>
      <w:r>
        <w:rPr>
          <w:rFonts w:ascii="仿宋_GB2312" w:hAnsi="仿宋_GB2312" w:eastAsia="仿宋_GB2312"/>
          <w:b w:val="0"/>
          <w:sz w:val="32"/>
        </w:rPr>
        <w:t>其中：年末财政拨款结转和结余0.00万元，本年财政拨款支出211.75万元。</w:t>
      </w:r>
    </w:p>
    <w:p w14:paraId="540C94F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增加5.72万元，增长2.78%，主要原因是：本年在职人员工资调增，社保、公积金基数调增，人员经费增加。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年初预算数225.31万元，决算数211.75万元，预决算差异率-6.02%，主要原因是：本年在职人员减少，年中调减人员经费，导致预决算存在差异。</w:t>
      </w:r>
    </w:p>
    <w:p w14:paraId="293A7A4E">
      <w:pPr>
        <w:spacing w:line="640" w:lineRule="exact"/>
        <w:ind w:firstLine="640"/>
        <w:jc w:val="both"/>
        <w:outlineLvl w:val="2"/>
      </w:pPr>
      <w:r>
        <w:rPr>
          <w:rFonts w:ascii="黑体" w:hAnsi="黑体" w:eastAsia="黑体"/>
          <w:sz w:val="32"/>
        </w:rPr>
        <w:t>五、一般公共预算财政拨款支出决算情况说明</w:t>
      </w:r>
    </w:p>
    <w:p w14:paraId="258552CD">
      <w:pPr>
        <w:spacing w:line="640" w:lineRule="exact"/>
        <w:ind w:firstLine="640"/>
        <w:jc w:val="both"/>
        <w:outlineLvl w:val="3"/>
      </w:pPr>
      <w:r>
        <w:rPr>
          <w:rFonts w:ascii="楷体_GB2312" w:hAnsi="楷体_GB2312" w:eastAsia="楷体_GB2312"/>
          <w:b/>
          <w:sz w:val="32"/>
        </w:rPr>
        <w:t>（一）一般公共预算财政拨款支出决算总体情况</w:t>
      </w:r>
    </w:p>
    <w:p w14:paraId="54E5F917">
      <w:pPr>
        <w:spacing w:line="580" w:lineRule="exact"/>
        <w:ind w:firstLine="640"/>
        <w:jc w:val="both"/>
      </w:pPr>
      <w:r>
        <w:rPr>
          <w:rFonts w:ascii="仿宋_GB2312" w:hAnsi="仿宋_GB2312" w:eastAsia="仿宋_GB2312"/>
          <w:b/>
          <w:sz w:val="32"/>
        </w:rPr>
        <w:t>2024年度一般公共预算财政拨款支出211.75万元，</w:t>
      </w:r>
      <w:r>
        <w:rPr>
          <w:rFonts w:ascii="仿宋_GB2312" w:hAnsi="仿宋_GB2312" w:eastAsia="仿宋_GB2312"/>
          <w:b w:val="0"/>
          <w:sz w:val="32"/>
        </w:rPr>
        <w:t>占本年支出合计的99.98%。</w:t>
      </w:r>
      <w:r>
        <w:rPr>
          <w:rFonts w:ascii="仿宋_GB2312" w:hAnsi="仿宋_GB2312" w:eastAsia="仿宋_GB2312"/>
          <w:b/>
          <w:sz w:val="32"/>
        </w:rPr>
        <w:t>与上年相比，</w:t>
      </w:r>
      <w:r>
        <w:rPr>
          <w:rFonts w:ascii="仿宋_GB2312" w:hAnsi="仿宋_GB2312" w:eastAsia="仿宋_GB2312"/>
          <w:b w:val="0"/>
          <w:sz w:val="32"/>
        </w:rPr>
        <w:t>增加5.72万元，增长2.78%，主要原因是：本年在职人员工资调增，社保、公积金基数调增，人员经费增加。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年初预算数225.31万元，决算数211.75万元，预决算差异率-6.02%，主要原因是：本年在职人员减少，年中调减人员经费，导致预决算存在差异。</w:t>
      </w:r>
    </w:p>
    <w:p w14:paraId="3339C025">
      <w:pPr>
        <w:spacing w:line="640" w:lineRule="exact"/>
        <w:ind w:firstLine="640"/>
        <w:jc w:val="both"/>
        <w:outlineLvl w:val="3"/>
      </w:pPr>
      <w:r>
        <w:rPr>
          <w:rFonts w:ascii="楷体_GB2312" w:hAnsi="楷体_GB2312" w:eastAsia="楷体_GB2312"/>
          <w:b/>
          <w:sz w:val="32"/>
        </w:rPr>
        <w:t>（二）一般公共预算财政拨款支出决算结构情况</w:t>
      </w:r>
    </w:p>
    <w:p w14:paraId="0C54B4AF">
      <w:pPr>
        <w:spacing w:line="580" w:lineRule="exact"/>
        <w:ind w:firstLine="640"/>
        <w:jc w:val="both"/>
      </w:pPr>
      <w:r>
        <w:rPr>
          <w:rFonts w:ascii="仿宋_GB2312" w:hAnsi="仿宋_GB2312" w:eastAsia="仿宋_GB2312"/>
          <w:b w:val="0"/>
          <w:sz w:val="32"/>
        </w:rPr>
        <w:t>1.一般公共服务支出(类)160.95万元,占76.01%。</w:t>
      </w:r>
    </w:p>
    <w:p w14:paraId="75CC0258">
      <w:pPr>
        <w:spacing w:line="580" w:lineRule="exact"/>
        <w:ind w:firstLine="640"/>
        <w:jc w:val="both"/>
      </w:pPr>
      <w:r>
        <w:rPr>
          <w:rFonts w:ascii="仿宋_GB2312" w:hAnsi="仿宋_GB2312" w:eastAsia="仿宋_GB2312"/>
          <w:b w:val="0"/>
          <w:sz w:val="32"/>
        </w:rPr>
        <w:t>2.社会保障和就业支出(类)26.63万元,占12.58%。</w:t>
      </w:r>
    </w:p>
    <w:p w14:paraId="79D409C9">
      <w:pPr>
        <w:spacing w:line="580" w:lineRule="exact"/>
        <w:ind w:firstLine="640"/>
        <w:jc w:val="both"/>
      </w:pPr>
      <w:r>
        <w:rPr>
          <w:rFonts w:ascii="仿宋_GB2312" w:hAnsi="仿宋_GB2312" w:eastAsia="仿宋_GB2312"/>
          <w:b w:val="0"/>
          <w:sz w:val="32"/>
        </w:rPr>
        <w:t>3.卫生健康支出(类)7.94万元,占3.75%。</w:t>
      </w:r>
    </w:p>
    <w:p w14:paraId="40686307">
      <w:pPr>
        <w:spacing w:line="580" w:lineRule="exact"/>
        <w:ind w:firstLine="640"/>
        <w:jc w:val="both"/>
      </w:pPr>
      <w:r>
        <w:rPr>
          <w:rFonts w:ascii="仿宋_GB2312" w:hAnsi="仿宋_GB2312" w:eastAsia="仿宋_GB2312"/>
          <w:b w:val="0"/>
          <w:sz w:val="32"/>
        </w:rPr>
        <w:t>4.住房保障支出(类)16.23万元,占7.66%。</w:t>
      </w:r>
    </w:p>
    <w:p w14:paraId="58E1896D">
      <w:pPr>
        <w:spacing w:line="640" w:lineRule="exact"/>
        <w:ind w:firstLine="640"/>
        <w:jc w:val="both"/>
        <w:outlineLvl w:val="3"/>
      </w:pPr>
      <w:r>
        <w:rPr>
          <w:rFonts w:ascii="楷体_GB2312" w:hAnsi="楷体_GB2312" w:eastAsia="楷体_GB2312"/>
          <w:b/>
          <w:sz w:val="32"/>
        </w:rPr>
        <w:t>（三）一般公共预算财政拨款支出决算具体情况</w:t>
      </w:r>
    </w:p>
    <w:p w14:paraId="17D12797">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1.一般公共服务支出(类)政府办公厅（室）及相关机构事务(款)行政运行(项):支出决算数为130.88万元，比上年决算增加2.53万元，增长1.97%,主要原因是：本年在职人员工资调增，导致相关人员经费较上年有所增加。</w:t>
      </w:r>
    </w:p>
    <w:p w14:paraId="17D6D205">
      <w:pPr>
        <w:spacing w:line="580" w:lineRule="exact"/>
        <w:ind w:firstLine="640"/>
        <w:jc w:val="both"/>
      </w:pPr>
      <w:r>
        <w:rPr>
          <w:rFonts w:ascii="仿宋_GB2312" w:hAnsi="仿宋_GB2312" w:eastAsia="仿宋_GB2312"/>
          <w:b w:val="0"/>
          <w:sz w:val="32"/>
        </w:rPr>
        <w:t>2.一般公共服务支出(类)政府办公厅（室）及相关机构事务(款)事业运行(项):支出决算数为25.70万元，比上年决算增加0.44万元，增长1.74%,主要原因是：本年在职人员工资调增，导致相关人员经费较上年有所增加。</w:t>
      </w:r>
    </w:p>
    <w:p w14:paraId="3178F9E7">
      <w:pPr>
        <w:spacing w:line="580" w:lineRule="exact"/>
        <w:ind w:firstLine="640"/>
        <w:jc w:val="both"/>
      </w:pPr>
      <w:r>
        <w:rPr>
          <w:rFonts w:ascii="仿宋_GB2312" w:hAnsi="仿宋_GB2312" w:eastAsia="仿宋_GB2312"/>
          <w:b w:val="0"/>
          <w:sz w:val="32"/>
        </w:rPr>
        <w:t>3.一般公共服务支出(类)政府办公厅（室）及相关机构事务(款)其他政府办公厅（室）及相关机构事务支出(项):支出决算数为4.37万元，比上年决算减少0.63万元，下降12.60%,主要原因是：严格执行中央八项规定，厉行节约，减少不必要的开支。</w:t>
      </w:r>
    </w:p>
    <w:p w14:paraId="5AE7C660">
      <w:pPr>
        <w:spacing w:line="580" w:lineRule="exact"/>
        <w:ind w:firstLine="640"/>
        <w:jc w:val="both"/>
      </w:pPr>
      <w:r>
        <w:rPr>
          <w:rFonts w:ascii="仿宋_GB2312" w:hAnsi="仿宋_GB2312" w:eastAsia="仿宋_GB2312"/>
          <w:b w:val="0"/>
          <w:sz w:val="32"/>
        </w:rPr>
        <w:t>4.一般公共服务支出(类)组织事务(款)其他组织事务支出(项):支出决算数为0.00万元，比上年决算减少1.49万元，下降100.00%,主要原因是：2024年减少为民办实事经费。</w:t>
      </w:r>
    </w:p>
    <w:p w14:paraId="2B128DFD">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5.社会保障和就业支出(类)行政事业单位养老支出(款)行政单位离退休(项):支出决算数为6.21万元，比上年决算增加0.84万元，增长15.64%,主要原因是：本年增加退休人员基础绩效奖，退休费支出增加。</w:t>
      </w:r>
    </w:p>
    <w:p w14:paraId="387927C6">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20.41万元，比上年决算增加2.21万元，增长12.14%,主要原因是：本年在职人员工资基数调增，养老缴费基数上涨，相应支出增加。</w:t>
      </w:r>
    </w:p>
    <w:p w14:paraId="0DEAB321">
      <w:pPr>
        <w:spacing w:line="580" w:lineRule="exact"/>
        <w:ind w:firstLine="640"/>
        <w:jc w:val="both"/>
      </w:pPr>
      <w:r>
        <w:rPr>
          <w:rFonts w:ascii="仿宋_GB2312" w:hAnsi="仿宋_GB2312" w:eastAsia="仿宋_GB2312"/>
          <w:b w:val="0"/>
          <w:sz w:val="32"/>
        </w:rPr>
        <w:t>7.卫生健康支出(类)行政事业单位医疗(款)行政单位医疗(项):支出决算数为6.90万元，比上年决算增加0.82万元，增长13.49%,主要原因是：本年在职人员工资基数调增，医疗缴费基数上涨，相应支出增加。</w:t>
      </w:r>
    </w:p>
    <w:p w14:paraId="60ED2D49">
      <w:pPr>
        <w:spacing w:line="580" w:lineRule="exact"/>
        <w:ind w:firstLine="640"/>
        <w:jc w:val="both"/>
      </w:pPr>
      <w:r>
        <w:rPr>
          <w:rFonts w:ascii="仿宋_GB2312" w:hAnsi="仿宋_GB2312" w:eastAsia="仿宋_GB2312"/>
          <w:b w:val="0"/>
          <w:sz w:val="32"/>
        </w:rPr>
        <w:t>8.卫生健康支出(类)行政事业单位医疗(款)事业单位医疗(项):支出决算数为1.03万元，比上年决算增加0.16万元，增长18.39%,主要原因是：本年在职人员工资基数调增，医疗缴费基数上涨，相应支出增加。</w:t>
      </w:r>
    </w:p>
    <w:p w14:paraId="0ACB201C">
      <w:pPr>
        <w:spacing w:line="580" w:lineRule="exact"/>
        <w:ind w:firstLine="640"/>
        <w:jc w:val="both"/>
      </w:pPr>
      <w:r>
        <w:rPr>
          <w:rFonts w:ascii="仿宋_GB2312" w:hAnsi="仿宋_GB2312" w:eastAsia="仿宋_GB2312"/>
          <w:b w:val="0"/>
          <w:sz w:val="32"/>
        </w:rPr>
        <w:t>9.住房保障支出(类)住房改革支出(款)住房公积金(项):支出决算数为16.23万元，比上年决算增加0.82万元，增长5.32%,主要原因是：本年在职人员工资基数调增，公积金缴费基数上涨，相应支出增加。</w:t>
      </w:r>
    </w:p>
    <w:p w14:paraId="4E82E1AB">
      <w:pPr>
        <w:spacing w:line="640" w:lineRule="exact"/>
        <w:ind w:firstLine="640"/>
        <w:jc w:val="both"/>
        <w:outlineLvl w:val="2"/>
      </w:pPr>
      <w:r>
        <w:rPr>
          <w:rFonts w:ascii="黑体" w:hAnsi="黑体" w:eastAsia="黑体"/>
          <w:sz w:val="32"/>
        </w:rPr>
        <w:t>六、一般公共预算财政拨款基本支出决算情况说明</w:t>
      </w:r>
    </w:p>
    <w:p w14:paraId="48D6F136">
      <w:pPr>
        <w:spacing w:line="580" w:lineRule="exact"/>
        <w:ind w:firstLine="640"/>
        <w:jc w:val="both"/>
      </w:pPr>
      <w:r>
        <w:rPr>
          <w:rFonts w:ascii="仿宋_GB2312" w:hAnsi="仿宋_GB2312" w:eastAsia="仿宋_GB2312"/>
          <w:b w:val="0"/>
          <w:sz w:val="32"/>
        </w:rPr>
        <w:t>2024年度一般公共预算财政拨款基本支出211.75万元，其中：</w:t>
      </w:r>
      <w:r>
        <w:rPr>
          <w:rFonts w:ascii="仿宋_GB2312" w:hAnsi="仿宋_GB2312" w:eastAsia="仿宋_GB2312"/>
          <w:b/>
          <w:sz w:val="32"/>
        </w:rPr>
        <w:t>人员经费206.08万元，</w:t>
      </w:r>
      <w:r>
        <w:rPr>
          <w:rFonts w:ascii="仿宋_GB2312" w:hAnsi="仿宋_GB2312" w:eastAsia="仿宋_GB2312"/>
          <w:b w:val="0"/>
          <w:sz w:val="32"/>
        </w:rPr>
        <w:t>包括：基本工资、津贴补贴、奖金、机关事业单位基本养老保险缴费、职工基本医疗保险缴费、其他社会保障缴费、住房公积金、退休费。</w:t>
      </w:r>
    </w:p>
    <w:p w14:paraId="6D2CEA63">
      <w:pPr>
        <w:spacing w:line="580" w:lineRule="exact"/>
        <w:ind w:firstLine="640"/>
        <w:jc w:val="both"/>
      </w:pPr>
      <w:r>
        <w:rPr>
          <w:rFonts w:ascii="仿宋_GB2312" w:hAnsi="仿宋_GB2312" w:eastAsia="仿宋_GB2312"/>
          <w:b/>
          <w:sz w:val="32"/>
        </w:rPr>
        <w:t>公用经费5.66万元，</w:t>
      </w:r>
      <w:r>
        <w:rPr>
          <w:rFonts w:ascii="仿宋_GB2312" w:hAnsi="仿宋_GB2312" w:eastAsia="仿宋_GB2312"/>
          <w:b w:val="0"/>
          <w:sz w:val="32"/>
        </w:rPr>
        <w:t>包括：办公费、印刷费、咨询费、差旅费、维修（护）费、培训费、其他交通费用、其他商品和服务支出、办公设备购置。</w:t>
      </w:r>
    </w:p>
    <w:p w14:paraId="15805337">
      <w:pPr>
        <w:spacing w:line="640" w:lineRule="exact"/>
        <w:ind w:firstLine="640"/>
        <w:jc w:val="both"/>
        <w:outlineLvl w:val="2"/>
      </w:pPr>
      <w:r>
        <w:rPr>
          <w:rFonts w:ascii="黑体" w:hAnsi="黑体" w:eastAsia="黑体"/>
          <w:sz w:val="32"/>
        </w:rPr>
        <w:t>七、政府性基金预算财政拨款收入支出决算情况说明</w:t>
      </w:r>
    </w:p>
    <w:p w14:paraId="1208C0B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7A1DDCD">
      <w:pPr>
        <w:spacing w:line="640" w:lineRule="exact"/>
        <w:ind w:firstLine="640"/>
        <w:jc w:val="both"/>
        <w:outlineLvl w:val="2"/>
      </w:pPr>
      <w:r>
        <w:rPr>
          <w:rFonts w:ascii="黑体" w:hAnsi="黑体" w:eastAsia="黑体"/>
          <w:sz w:val="32"/>
        </w:rPr>
        <w:t>八、国有资本经营预算财政拨款收入支出决算情况说明</w:t>
      </w:r>
    </w:p>
    <w:p w14:paraId="2A985A1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20328E8">
      <w:pPr>
        <w:spacing w:line="640" w:lineRule="exact"/>
        <w:ind w:firstLine="640"/>
        <w:jc w:val="both"/>
        <w:outlineLvl w:val="2"/>
      </w:pPr>
      <w:r>
        <w:rPr>
          <w:rFonts w:ascii="黑体" w:hAnsi="黑体" w:eastAsia="黑体"/>
          <w:sz w:val="32"/>
        </w:rPr>
        <w:t>九、财政拨款“三公”经费支出决算情况说明</w:t>
      </w:r>
    </w:p>
    <w:p w14:paraId="5306006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07D1408">
      <w:pPr>
        <w:spacing w:line="580" w:lineRule="exact"/>
        <w:ind w:firstLine="640"/>
        <w:jc w:val="both"/>
      </w:pPr>
      <w:r>
        <w:rPr>
          <w:rFonts w:ascii="仿宋_GB2312" w:hAnsi="仿宋_GB2312" w:eastAsia="仿宋_GB2312"/>
          <w:b/>
          <w:sz w:val="32"/>
        </w:rPr>
        <w:t>具体情况如下：</w:t>
      </w:r>
    </w:p>
    <w:p w14:paraId="23C22BB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7281E8D">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605902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79C895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AACD7D6">
      <w:pPr>
        <w:spacing w:line="640" w:lineRule="exact"/>
        <w:ind w:firstLine="640"/>
        <w:jc w:val="both"/>
        <w:outlineLvl w:val="2"/>
      </w:pPr>
      <w:r>
        <w:rPr>
          <w:rFonts w:ascii="黑体" w:hAnsi="黑体" w:eastAsia="黑体"/>
          <w:sz w:val="32"/>
        </w:rPr>
        <w:t>十、其他重要事项的情况说明</w:t>
      </w:r>
    </w:p>
    <w:p w14:paraId="1A9D1FD5">
      <w:pPr>
        <w:spacing w:line="640" w:lineRule="exact"/>
        <w:ind w:firstLine="640"/>
        <w:jc w:val="both"/>
        <w:outlineLvl w:val="3"/>
      </w:pPr>
      <w:r>
        <w:rPr>
          <w:rFonts w:ascii="楷体_GB2312" w:hAnsi="楷体_GB2312" w:eastAsia="楷体_GB2312"/>
          <w:b/>
          <w:sz w:val="32"/>
        </w:rPr>
        <w:t>（一）机关运行经费及公用经费支出情况</w:t>
      </w:r>
    </w:p>
    <w:p w14:paraId="2A946F4B">
      <w:pPr>
        <w:spacing w:line="580" w:lineRule="exact"/>
        <w:ind w:firstLine="640"/>
        <w:jc w:val="both"/>
      </w:pPr>
      <w:r>
        <w:rPr>
          <w:rFonts w:ascii="仿宋_GB2312" w:hAnsi="仿宋_GB2312" w:eastAsia="仿宋_GB2312"/>
          <w:b w:val="0"/>
          <w:sz w:val="32"/>
        </w:rPr>
        <w:t>2024年度中共阿图什市委员会机构编制委员会办公室（行政单位和参照公务员法管理事业单位）机关运行经费支出5.66万元，比上年减少0.99万元，下降14.89%，主要原因是：严格控制公用经费，合理节约办公用品，减少不必要开支。</w:t>
      </w:r>
    </w:p>
    <w:p w14:paraId="21DB90EC">
      <w:pPr>
        <w:spacing w:line="640" w:lineRule="exact"/>
        <w:ind w:firstLine="640"/>
        <w:jc w:val="both"/>
        <w:outlineLvl w:val="3"/>
      </w:pPr>
      <w:r>
        <w:rPr>
          <w:rFonts w:ascii="楷体_GB2312" w:hAnsi="楷体_GB2312" w:eastAsia="楷体_GB2312"/>
          <w:b/>
          <w:sz w:val="32"/>
        </w:rPr>
        <w:t>（二）政府采购情况</w:t>
      </w:r>
    </w:p>
    <w:p w14:paraId="0126E251">
      <w:pPr>
        <w:spacing w:line="580" w:lineRule="exact"/>
        <w:ind w:firstLine="640"/>
        <w:jc w:val="both"/>
      </w:pPr>
      <w:r>
        <w:rPr>
          <w:rFonts w:ascii="仿宋_GB2312" w:hAnsi="仿宋_GB2312" w:eastAsia="仿宋_GB2312"/>
          <w:b w:val="0"/>
          <w:sz w:val="32"/>
        </w:rPr>
        <w:t>2024年度政府采购支出总额2.33万元，其中：政府采购货物支出1.92万元、政府采购工程支出0.00万元、政府采购服务支出0.41万元。</w:t>
      </w:r>
    </w:p>
    <w:p w14:paraId="7ABF0E91">
      <w:pPr>
        <w:spacing w:line="580" w:lineRule="exact"/>
        <w:ind w:firstLine="640"/>
        <w:jc w:val="both"/>
      </w:pPr>
      <w:r>
        <w:rPr>
          <w:rFonts w:ascii="仿宋_GB2312" w:hAnsi="仿宋_GB2312" w:eastAsia="仿宋_GB2312"/>
          <w:b w:val="0"/>
          <w:sz w:val="32"/>
        </w:rPr>
        <w:t>授予中小企业合同金额1.87万元，占政府采购支出总额的80.26%，其中：授予小微企业合同金额1.65万元，占政府采购支出总额的70.82%。</w:t>
      </w:r>
    </w:p>
    <w:p w14:paraId="7F76102D">
      <w:pPr>
        <w:spacing w:line="640" w:lineRule="exact"/>
        <w:ind w:firstLine="640"/>
        <w:jc w:val="both"/>
        <w:outlineLvl w:val="3"/>
      </w:pPr>
      <w:r>
        <w:rPr>
          <w:rFonts w:ascii="楷体_GB2312" w:hAnsi="楷体_GB2312" w:eastAsia="楷体_GB2312"/>
          <w:b/>
          <w:sz w:val="32"/>
        </w:rPr>
        <w:t>（三）国有资产占用情况说明</w:t>
      </w:r>
    </w:p>
    <w:p w14:paraId="2DD8FDCF">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DF83E7E">
      <w:pPr>
        <w:spacing w:line="640" w:lineRule="exact"/>
        <w:ind w:firstLine="640"/>
        <w:jc w:val="both"/>
        <w:outlineLvl w:val="2"/>
      </w:pPr>
      <w:r>
        <w:rPr>
          <w:rFonts w:ascii="黑体" w:hAnsi="黑体" w:eastAsia="黑体"/>
          <w:sz w:val="32"/>
        </w:rPr>
        <w:t>十一、预算绩效的情况说明</w:t>
      </w:r>
    </w:p>
    <w:p w14:paraId="5F5E289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212.27万元，实际执行总额211.79万元；预算绩效评价项目2个，全年预算数10.00万元，全年执行数4.38万元。预算绩效管理取得的成效：一是确保资金的高效使用，切实发挥财政资金使用效果；二是严格按照工作职责和相关文件依据，确保专款专用；三是严格控制资金的流出方向，确保资金的合规性。发现的问题及原因：项目年初安排计划不精准，导致项目设置指标存在偏差。下一步改进措施：开展进度的跟踪，确保项目绩效目标的完成。规范程序，严格把关。进一步完善项目申报、审核、公示、审批等程序，严格审核切实做好项目信息公开，公开内容要及时、完整、真实，确保项目公平、公开、公正。具体附整体支出绩效自评表，项目支出绩效自评表和评价报告。</w:t>
      </w:r>
    </w:p>
    <w:p w14:paraId="4888DDD6">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A4A3744">
        <w:tblPrEx>
          <w:tblCellMar>
            <w:top w:w="0" w:type="dxa"/>
            <w:left w:w="108" w:type="dxa"/>
            <w:bottom w:w="0" w:type="dxa"/>
            <w:right w:w="108" w:type="dxa"/>
          </w:tblCellMar>
        </w:tblPrEx>
        <w:tc>
          <w:tcPr>
            <w:tcW w:w="8840" w:type="dxa"/>
            <w:gridSpan w:val="8"/>
            <w:vAlign w:val="center"/>
          </w:tcPr>
          <w:p w14:paraId="1B0B22E4">
            <w:pPr>
              <w:jc w:val="center"/>
            </w:pPr>
            <w:r>
              <w:rPr>
                <w:rFonts w:ascii="宋体" w:hAnsi="宋体" w:eastAsia="宋体"/>
                <w:sz w:val="24"/>
              </w:rPr>
              <w:t>单位整体支出绩效自评表</w:t>
            </w:r>
          </w:p>
        </w:tc>
      </w:tr>
      <w:tr w14:paraId="3061F487">
        <w:tblPrEx>
          <w:tblCellMar>
            <w:top w:w="0" w:type="dxa"/>
            <w:left w:w="108" w:type="dxa"/>
            <w:bottom w:w="0" w:type="dxa"/>
            <w:right w:w="108" w:type="dxa"/>
          </w:tblCellMar>
        </w:tblPrEx>
        <w:tc>
          <w:tcPr>
            <w:tcW w:w="8840" w:type="dxa"/>
            <w:gridSpan w:val="8"/>
            <w:vAlign w:val="center"/>
          </w:tcPr>
          <w:p w14:paraId="1DC1F953">
            <w:pPr>
              <w:jc w:val="center"/>
            </w:pPr>
            <w:r>
              <w:rPr>
                <w:rFonts w:ascii="宋体" w:hAnsi="宋体" w:eastAsia="宋体"/>
                <w:sz w:val="24"/>
              </w:rPr>
              <w:t>（2024年度）</w:t>
            </w:r>
          </w:p>
        </w:tc>
      </w:tr>
      <w:tr w14:paraId="188A1B9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79F2E4">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7CE3F5">
            <w:pPr>
              <w:jc w:val="center"/>
            </w:pPr>
            <w:r>
              <w:rPr>
                <w:rFonts w:ascii="宋体" w:hAnsi="宋体" w:eastAsia="宋体"/>
                <w:sz w:val="16"/>
              </w:rPr>
              <w:t>中共阿图什市委员会机构编制委员会办公室</w:t>
            </w:r>
          </w:p>
        </w:tc>
      </w:tr>
      <w:tr w14:paraId="581F996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49DAFF">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BF0BB7">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B83A2E">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F6C846">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56978E">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51437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D3691F">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5DAC54">
            <w:pPr>
              <w:jc w:val="center"/>
            </w:pPr>
            <w:r>
              <w:rPr>
                <w:rFonts w:ascii="宋体" w:hAnsi="宋体" w:eastAsia="宋体"/>
                <w:sz w:val="16"/>
              </w:rPr>
              <w:t>得分</w:t>
            </w:r>
          </w:p>
        </w:tc>
      </w:tr>
      <w:tr w14:paraId="22C0DA4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6FCA9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F22B7B">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0FFD80">
            <w:pPr>
              <w:jc w:val="center"/>
            </w:pPr>
            <w:r>
              <w:rPr>
                <w:rFonts w:ascii="宋体" w:hAnsi="宋体" w:eastAsia="宋体"/>
                <w:sz w:val="16"/>
              </w:rPr>
              <w:t>225.31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BE470E">
            <w:pPr>
              <w:jc w:val="center"/>
            </w:pPr>
            <w:r>
              <w:rPr>
                <w:rFonts w:ascii="宋体" w:hAnsi="宋体" w:eastAsia="宋体"/>
                <w:sz w:val="16"/>
              </w:rPr>
              <w:t>212.27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B18781">
            <w:pPr>
              <w:jc w:val="center"/>
            </w:pPr>
            <w:r>
              <w:rPr>
                <w:rFonts w:ascii="宋体" w:hAnsi="宋体" w:eastAsia="宋体"/>
                <w:sz w:val="16"/>
              </w:rPr>
              <w:t>211.79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E2756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3BB22F">
            <w:pPr>
              <w:jc w:val="center"/>
            </w:pPr>
            <w:r>
              <w:rPr>
                <w:rFonts w:ascii="宋体" w:hAnsi="宋体" w:eastAsia="宋体"/>
                <w:sz w:val="16"/>
              </w:rPr>
              <w:t>99.77%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651DF4">
            <w:pPr>
              <w:jc w:val="center"/>
              <w:rPr>
                <w:rFonts w:hint="default" w:eastAsia="宋体"/>
                <w:lang w:val="en-US" w:eastAsia="zh-CN"/>
              </w:rPr>
            </w:pPr>
            <w:r>
              <w:rPr>
                <w:rFonts w:hint="eastAsia" w:ascii="宋体" w:hAnsi="宋体"/>
                <w:sz w:val="16"/>
                <w:lang w:val="en-US" w:eastAsia="zh-CN"/>
              </w:rPr>
              <w:t>9.98</w:t>
            </w:r>
          </w:p>
        </w:tc>
      </w:tr>
      <w:tr w14:paraId="7CB565F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26317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B3C07C">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D813F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DC7E4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BE33F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7524D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533CD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1FA805">
            <w:pPr>
              <w:jc w:val="center"/>
            </w:pPr>
            <w:r>
              <w:rPr>
                <w:rFonts w:ascii="宋体" w:hAnsi="宋体" w:eastAsia="宋体"/>
                <w:sz w:val="16"/>
              </w:rPr>
              <w:t>—</w:t>
            </w:r>
          </w:p>
        </w:tc>
      </w:tr>
      <w:tr w14:paraId="2E6F783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599F8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1269FF">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B93D4F">
            <w:pPr>
              <w:jc w:val="center"/>
            </w:pPr>
            <w:r>
              <w:rPr>
                <w:rFonts w:ascii="宋体" w:hAnsi="宋体" w:eastAsia="宋体"/>
                <w:sz w:val="16"/>
              </w:rPr>
              <w:t>225.31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0B1C48">
            <w:pPr>
              <w:jc w:val="center"/>
            </w:pPr>
            <w:r>
              <w:rPr>
                <w:rFonts w:ascii="宋体" w:hAnsi="宋体" w:eastAsia="宋体"/>
                <w:sz w:val="16"/>
              </w:rPr>
              <w:t>212.27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495172">
            <w:pPr>
              <w:jc w:val="center"/>
            </w:pPr>
            <w:r>
              <w:rPr>
                <w:rFonts w:ascii="宋体" w:hAnsi="宋体" w:eastAsia="宋体"/>
                <w:sz w:val="16"/>
              </w:rPr>
              <w:t>211.79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DBBE8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E0D4D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9BFDA4">
            <w:pPr>
              <w:jc w:val="center"/>
            </w:pPr>
            <w:r>
              <w:rPr>
                <w:rFonts w:ascii="宋体" w:hAnsi="宋体" w:eastAsia="宋体"/>
                <w:sz w:val="16"/>
              </w:rPr>
              <w:t>—</w:t>
            </w:r>
          </w:p>
        </w:tc>
      </w:tr>
      <w:tr w14:paraId="73DE3CA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C6A68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0DFA1E">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417F7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DD8CD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0D8E2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72013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8F865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C66C54">
            <w:pPr>
              <w:jc w:val="center"/>
            </w:pPr>
            <w:r>
              <w:rPr>
                <w:rFonts w:ascii="宋体" w:hAnsi="宋体" w:eastAsia="宋体"/>
                <w:sz w:val="16"/>
              </w:rPr>
              <w:t>—</w:t>
            </w:r>
          </w:p>
        </w:tc>
      </w:tr>
      <w:tr w14:paraId="36CAE36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CF7D67">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B44556">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9CCDFB6">
            <w:pPr>
              <w:jc w:val="center"/>
            </w:pPr>
            <w:r>
              <w:rPr>
                <w:rFonts w:ascii="宋体" w:hAnsi="宋体" w:eastAsia="宋体"/>
                <w:sz w:val="16"/>
              </w:rPr>
              <w:t>实际完成情况</w:t>
            </w:r>
          </w:p>
        </w:tc>
      </w:tr>
      <w:tr w14:paraId="7018463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237FF0"/>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2621CB5">
            <w:pPr>
              <w:jc w:val="both"/>
            </w:pPr>
            <w:r>
              <w:rPr>
                <w:rFonts w:ascii="宋体" w:hAnsi="宋体" w:eastAsia="宋体"/>
                <w:sz w:val="16"/>
              </w:rPr>
              <w:t xml:space="preserve">单位基本职能：1.贯彻落实党中央、国务院和自治区、自治州党委、人民政府关于行政管理体制改革、机构改革和机构编制管理的方针、政策和法规。2.统一管理全市党政机关，人大、政协、法院、检察机关，各民主党派、人民团体机关及事业单位的机构编制工作。3.研究拟定全市行政管理体制改革、机构改革的总体方案，并组织实施。4.协调全市党政机关各部门职能配置及其调整。5.审核阿图什市党政机关、事业单位机构设置和人员编制、领导职数。6.研究拟订全市事业单位分类改革方案和事业单位机构编制管理的政策、法规和规章。7.负责行政管理体制改革、机构改革、机构编制管理的理论研究和信息收集工作。 </w:t>
            </w:r>
            <w:r>
              <w:rPr>
                <w:rFonts w:ascii="宋体" w:hAnsi="宋体" w:eastAsia="宋体"/>
                <w:sz w:val="16"/>
              </w:rPr>
              <w:br w:type="textWrapping"/>
            </w:r>
            <w:r>
              <w:rPr>
                <w:rFonts w:ascii="宋体" w:hAnsi="宋体" w:eastAsia="宋体"/>
                <w:sz w:val="16"/>
              </w:rPr>
              <w:t xml:space="preserve">机构设置及人员配置：下设3个科室，编制数11，实有人数16人，在职12人，退休4人。 </w:t>
            </w:r>
            <w:r>
              <w:rPr>
                <w:rFonts w:ascii="宋体" w:hAnsi="宋体" w:eastAsia="宋体"/>
                <w:sz w:val="16"/>
              </w:rPr>
              <w:br w:type="textWrapping"/>
            </w:r>
            <w:r>
              <w:rPr>
                <w:rFonts w:ascii="宋体" w:hAnsi="宋体" w:eastAsia="宋体"/>
                <w:sz w:val="16"/>
              </w:rPr>
              <w:t xml:space="preserve">中长期规划：按照上级要求继续做好新一轮乡镇（街道）机构改革、事业单位改革工作；持续清理行政审批事项，按照上级要求时限公布权力清单、责任清单等工作。大力简政放权，减少行政审批事项。继续做好权力清单和责任清单的调整工作，完善依法行政各项制度，让权力在阳光下运行，坚持用制度管权管事管人，提高政府公信力和执行力。 </w:t>
            </w:r>
            <w:r>
              <w:rPr>
                <w:rFonts w:ascii="宋体" w:hAnsi="宋体" w:eastAsia="宋体"/>
                <w:sz w:val="16"/>
              </w:rPr>
              <w:br w:type="textWrapping"/>
            </w:r>
            <w:r>
              <w:rPr>
                <w:rFonts w:ascii="宋体" w:hAnsi="宋体" w:eastAsia="宋体"/>
                <w:sz w:val="16"/>
              </w:rPr>
              <w:t xml:space="preserve">    严把“入口”关，重点控制乡镇新进人员，确保总量逐年下降，素质不断提高。强化协调配合，会同组织、人事、财政、纪检监察等部门，研究加强领导职数管理、人员进、出中的编制管理、机构编制与财政预算配套管理。用好用活机构编制资源，根据各单位申请和上级安排部署，将调剂使用编制，保障单位工作的顺利进行。</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4777370">
            <w:pPr>
              <w:jc w:val="both"/>
            </w:pPr>
            <w:r>
              <w:rPr>
                <w:rFonts w:ascii="宋体" w:hAnsi="宋体" w:eastAsia="宋体"/>
                <w:sz w:val="16"/>
              </w:rPr>
              <w:t>本单位共计支出211.79万元，用于保障部门在职12人，退休4人的工资福利、各项补助正常发放及部门单位正常运转，单位预算项目根据年初计划均已完成，强化协调配合，会同组织、人事、财政、纪检监察等部门，研究加强领导职数管理、人员进、出中的编制管理、机构编制与财政预算配套管理，年度任务中完成相关宣传及培训工作2次，保障单位部门预算项目2个等目标。</w:t>
            </w:r>
          </w:p>
        </w:tc>
      </w:tr>
      <w:tr w14:paraId="34832BE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E9ECD5">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7B39FC">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AB1D22">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FDD158">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30D912">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B7513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CE8149">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A9DDB8">
            <w:pPr>
              <w:jc w:val="center"/>
            </w:pPr>
            <w:r>
              <w:rPr>
                <w:rFonts w:ascii="宋体" w:hAnsi="宋体" w:eastAsia="宋体"/>
                <w:sz w:val="16"/>
              </w:rPr>
              <w:t>得分</w:t>
            </w:r>
          </w:p>
        </w:tc>
      </w:tr>
      <w:tr w14:paraId="19A8021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A29C1F">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0ED6CA">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4AF713">
            <w:pPr>
              <w:jc w:val="center"/>
            </w:pPr>
            <w:r>
              <w:rPr>
                <w:rFonts w:ascii="宋体" w:hAnsi="宋体" w:eastAsia="宋体"/>
                <w:sz w:val="16"/>
              </w:rPr>
              <w:t>统一社会信用代码证设立、审验、变更、注销及时率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22C7D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1B3546">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E7E340">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72D1E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D7C77A">
            <w:pPr>
              <w:jc w:val="center"/>
            </w:pPr>
            <w:r>
              <w:rPr>
                <w:rFonts w:ascii="宋体" w:hAnsi="宋体" w:eastAsia="宋体"/>
                <w:sz w:val="16"/>
              </w:rPr>
              <w:t>18</w:t>
            </w:r>
          </w:p>
        </w:tc>
      </w:tr>
      <w:tr w14:paraId="5F0BA0B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94A619">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588F37">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2B78F9">
            <w:pPr>
              <w:jc w:val="center"/>
            </w:pPr>
            <w:r>
              <w:rPr>
                <w:rFonts w:ascii="宋体" w:hAnsi="宋体" w:eastAsia="宋体"/>
                <w:sz w:val="16"/>
              </w:rPr>
              <w:t>相关宣传及培训工作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30915F">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63982C">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E7D13F">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35AB05">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DFCA78">
            <w:pPr>
              <w:jc w:val="center"/>
            </w:pPr>
            <w:r>
              <w:rPr>
                <w:rFonts w:ascii="宋体" w:hAnsi="宋体" w:eastAsia="宋体"/>
                <w:sz w:val="16"/>
              </w:rPr>
              <w:t>18</w:t>
            </w:r>
          </w:p>
        </w:tc>
      </w:tr>
      <w:tr w14:paraId="2844970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5FD36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60D6E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512B61">
            <w:pPr>
              <w:jc w:val="center"/>
            </w:pPr>
            <w:r>
              <w:rPr>
                <w:rFonts w:ascii="宋体" w:hAnsi="宋体" w:eastAsia="宋体"/>
                <w:sz w:val="16"/>
              </w:rPr>
              <w:t>保障单位部门预算项目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C9CFBF">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F7F3C6">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3A7337">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B515E6">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E5F4E0">
            <w:pPr>
              <w:jc w:val="center"/>
            </w:pPr>
            <w:r>
              <w:rPr>
                <w:rFonts w:ascii="宋体" w:hAnsi="宋体" w:eastAsia="宋体"/>
                <w:sz w:val="16"/>
              </w:rPr>
              <w:t>18</w:t>
            </w:r>
          </w:p>
        </w:tc>
      </w:tr>
      <w:tr w14:paraId="45DC26F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11E9D3"/>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975D4C">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AB81B7">
            <w:pPr>
              <w:jc w:val="center"/>
            </w:pPr>
            <w:r>
              <w:rPr>
                <w:rFonts w:ascii="宋体" w:hAnsi="宋体" w:eastAsia="宋体"/>
                <w:sz w:val="16"/>
              </w:rPr>
              <w:t>统一社会信用代码编制管理覆盖率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64D98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4A97B7">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F1BBB2">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E01B3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12C9C0">
            <w:pPr>
              <w:jc w:val="center"/>
            </w:pPr>
            <w:r>
              <w:rPr>
                <w:rFonts w:ascii="宋体" w:hAnsi="宋体" w:eastAsia="宋体"/>
                <w:sz w:val="16"/>
              </w:rPr>
              <w:t>18</w:t>
            </w:r>
          </w:p>
        </w:tc>
      </w:tr>
      <w:tr w14:paraId="1220FED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01A494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8BC84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77A255">
            <w:pPr>
              <w:jc w:val="center"/>
            </w:pPr>
            <w:r>
              <w:rPr>
                <w:rFonts w:ascii="宋体" w:hAnsi="宋体" w:eastAsia="宋体"/>
                <w:sz w:val="16"/>
              </w:rPr>
              <w:t>年审工作合格率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F8C32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5E37F0">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E87851">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984C9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AC5E44">
            <w:pPr>
              <w:jc w:val="center"/>
            </w:pPr>
            <w:r>
              <w:rPr>
                <w:rFonts w:ascii="宋体" w:hAnsi="宋体" w:eastAsia="宋体"/>
                <w:sz w:val="16"/>
              </w:rPr>
              <w:t>18</w:t>
            </w:r>
          </w:p>
        </w:tc>
      </w:tr>
    </w:tbl>
    <w:p w14:paraId="2EF8D67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A7E4CA4">
        <w:tblPrEx>
          <w:tblCellMar>
            <w:top w:w="0" w:type="dxa"/>
            <w:left w:w="108" w:type="dxa"/>
            <w:bottom w:w="0" w:type="dxa"/>
            <w:right w:w="108" w:type="dxa"/>
          </w:tblCellMar>
        </w:tblPrEx>
        <w:tc>
          <w:tcPr>
            <w:tcW w:w="8848" w:type="dxa"/>
            <w:gridSpan w:val="14"/>
            <w:vAlign w:val="center"/>
          </w:tcPr>
          <w:p w14:paraId="4754B362">
            <w:pPr>
              <w:jc w:val="center"/>
            </w:pPr>
            <w:r>
              <w:rPr>
                <w:rFonts w:ascii="宋体" w:hAnsi="宋体" w:eastAsia="宋体"/>
                <w:sz w:val="24"/>
              </w:rPr>
              <w:t>项目支出绩效自评表</w:t>
            </w:r>
          </w:p>
        </w:tc>
      </w:tr>
      <w:tr w14:paraId="2744DCCB">
        <w:tblPrEx>
          <w:tblCellMar>
            <w:top w:w="0" w:type="dxa"/>
            <w:left w:w="108" w:type="dxa"/>
            <w:bottom w:w="0" w:type="dxa"/>
            <w:right w:w="108" w:type="dxa"/>
          </w:tblCellMar>
        </w:tblPrEx>
        <w:tc>
          <w:tcPr>
            <w:tcW w:w="8848" w:type="dxa"/>
            <w:gridSpan w:val="14"/>
            <w:vAlign w:val="center"/>
          </w:tcPr>
          <w:p w14:paraId="352CF9C0">
            <w:pPr>
              <w:jc w:val="center"/>
            </w:pPr>
            <w:r>
              <w:rPr>
                <w:rFonts w:ascii="宋体" w:hAnsi="宋体" w:eastAsia="宋体"/>
                <w:sz w:val="24"/>
              </w:rPr>
              <w:t>(2024年度)</w:t>
            </w:r>
          </w:p>
        </w:tc>
      </w:tr>
      <w:tr w14:paraId="1FF65E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941D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FD8E23">
            <w:pPr>
              <w:jc w:val="center"/>
            </w:pPr>
            <w:r>
              <w:rPr>
                <w:rFonts w:ascii="宋体" w:hAnsi="宋体" w:eastAsia="宋体"/>
                <w:sz w:val="16"/>
              </w:rPr>
              <w:t>统一社会信用代码证登记管理费</w:t>
            </w:r>
          </w:p>
        </w:tc>
      </w:tr>
      <w:tr w14:paraId="0060AC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2A64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D368B3">
            <w:pPr>
              <w:jc w:val="center"/>
            </w:pPr>
            <w:r>
              <w:rPr>
                <w:rFonts w:ascii="宋体" w:hAnsi="宋体" w:eastAsia="宋体"/>
                <w:sz w:val="16"/>
              </w:rPr>
              <w:t>中共阿图什市委员会机构编制委员会办公室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0BAB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4063F7B">
            <w:pPr>
              <w:jc w:val="center"/>
            </w:pPr>
            <w:r>
              <w:rPr>
                <w:rFonts w:ascii="宋体" w:hAnsi="宋体" w:eastAsia="宋体"/>
                <w:sz w:val="16"/>
              </w:rPr>
              <w:t>中共阿图什市委员会机构编制委员会办公室</w:t>
            </w:r>
          </w:p>
        </w:tc>
      </w:tr>
      <w:tr w14:paraId="185589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DD7FE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9EC3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536B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AB7A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D965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A91A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2AF8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9055F">
            <w:pPr>
              <w:jc w:val="center"/>
            </w:pPr>
            <w:r>
              <w:rPr>
                <w:rFonts w:ascii="宋体" w:hAnsi="宋体" w:eastAsia="宋体"/>
                <w:sz w:val="16"/>
              </w:rPr>
              <w:t>得分</w:t>
            </w:r>
          </w:p>
        </w:tc>
      </w:tr>
      <w:tr w14:paraId="7A93EB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29F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3B8D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1D385">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9064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E6B5A">
            <w:pPr>
              <w:jc w:val="center"/>
            </w:pPr>
            <w:r>
              <w:rPr>
                <w:rFonts w:ascii="宋体" w:hAnsi="宋体" w:eastAsia="宋体"/>
                <w:sz w:val="16"/>
              </w:rPr>
              <w:t>2.28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34C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BE3F4">
            <w:pPr>
              <w:jc w:val="center"/>
            </w:pPr>
            <w:r>
              <w:rPr>
                <w:rFonts w:ascii="宋体" w:hAnsi="宋体" w:eastAsia="宋体"/>
                <w:sz w:val="16"/>
              </w:rPr>
              <w:t>45.6%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F4B85">
            <w:pPr>
              <w:jc w:val="center"/>
            </w:pPr>
            <w:r>
              <w:rPr>
                <w:rFonts w:ascii="宋体" w:hAnsi="宋体" w:eastAsia="宋体"/>
                <w:sz w:val="16"/>
              </w:rPr>
              <w:t>0.00分</w:t>
            </w:r>
          </w:p>
        </w:tc>
      </w:tr>
      <w:tr w14:paraId="6AB52A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913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DAF3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EEA4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6BB6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FDFE1">
            <w:pPr>
              <w:jc w:val="center"/>
            </w:pPr>
            <w:r>
              <w:rPr>
                <w:rFonts w:ascii="宋体" w:hAnsi="宋体" w:eastAsia="宋体"/>
                <w:sz w:val="16"/>
              </w:rPr>
              <w:t>2.28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B4E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730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FE44D">
            <w:pPr>
              <w:jc w:val="center"/>
            </w:pPr>
            <w:r>
              <w:rPr>
                <w:rFonts w:ascii="宋体" w:hAnsi="宋体" w:eastAsia="宋体"/>
                <w:sz w:val="16"/>
              </w:rPr>
              <w:t>—</w:t>
            </w:r>
          </w:p>
        </w:tc>
      </w:tr>
      <w:tr w14:paraId="7DC88D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BCF7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7E61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960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40F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F08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3C93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5A1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00498">
            <w:pPr>
              <w:jc w:val="center"/>
            </w:pPr>
            <w:r>
              <w:rPr>
                <w:rFonts w:ascii="宋体" w:hAnsi="宋体" w:eastAsia="宋体"/>
                <w:sz w:val="16"/>
              </w:rPr>
              <w:t>—</w:t>
            </w:r>
          </w:p>
        </w:tc>
      </w:tr>
      <w:tr w14:paraId="3284735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640E7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C5363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0CDEF4">
            <w:pPr>
              <w:jc w:val="center"/>
            </w:pPr>
            <w:r>
              <w:rPr>
                <w:rFonts w:ascii="宋体" w:hAnsi="宋体" w:eastAsia="宋体"/>
                <w:sz w:val="16"/>
              </w:rPr>
              <w:t>实际完成情况</w:t>
            </w:r>
          </w:p>
        </w:tc>
      </w:tr>
      <w:tr w14:paraId="321428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7A3E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789094">
            <w:pPr>
              <w:jc w:val="both"/>
            </w:pPr>
            <w:r>
              <w:rPr>
                <w:rFonts w:ascii="宋体" w:hAnsi="宋体" w:eastAsia="宋体"/>
                <w:sz w:val="16"/>
              </w:rPr>
              <w:t>根据《阿图什市委员会机构编制委员会办公室班子会议纪要》，2024年度计划采购办公用品1批、组织业务培训3次、人员出差2次，通过项目实施加快推进了阿图什市统一社会信用代码证登记管理工作持续健康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FC5F8A">
            <w:pPr>
              <w:jc w:val="both"/>
            </w:pPr>
            <w:r>
              <w:rPr>
                <w:rFonts w:ascii="宋体" w:hAnsi="宋体" w:eastAsia="宋体"/>
                <w:sz w:val="16"/>
              </w:rPr>
              <w:t>本项目共计支出2.279万元，用于采购办公用品1批、组织业务培训3次、人员出差2次；通过实施本项目加快推进了阿图什市统一社会信用代码证登记管理工作持续健康发展。</w:t>
            </w:r>
          </w:p>
        </w:tc>
      </w:tr>
      <w:tr w14:paraId="1A88A1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2DA6C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6CF0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CA6E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A312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961D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80A8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C20A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152C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82A4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617D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91C9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FEA8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3E517">
            <w:pPr>
              <w:jc w:val="center"/>
            </w:pPr>
            <w:r>
              <w:rPr>
                <w:rFonts w:ascii="宋体" w:hAnsi="宋体" w:eastAsia="宋体"/>
                <w:sz w:val="16"/>
              </w:rPr>
              <w:t>偏差原因分析及改进措施</w:t>
            </w:r>
          </w:p>
        </w:tc>
      </w:tr>
      <w:tr w14:paraId="566D5A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B4B3B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C7384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8935C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EED99">
            <w:pPr>
              <w:jc w:val="center"/>
            </w:pPr>
            <w:r>
              <w:rPr>
                <w:rFonts w:ascii="宋体" w:hAnsi="宋体" w:eastAsia="宋体"/>
                <w:sz w:val="16"/>
              </w:rPr>
              <w:t>采购办公用品数量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0B594">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DE1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F44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C0C7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AE9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3FB1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8F6F4">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C477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00B01">
            <w:pPr>
              <w:jc w:val="center"/>
            </w:pPr>
          </w:p>
        </w:tc>
      </w:tr>
      <w:tr w14:paraId="2C3EDB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38C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0DA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CFF0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55F43">
            <w:pPr>
              <w:jc w:val="center"/>
            </w:pPr>
            <w:r>
              <w:rPr>
                <w:rFonts w:ascii="宋体" w:hAnsi="宋体" w:eastAsia="宋体"/>
                <w:sz w:val="16"/>
              </w:rPr>
              <w:t>组织业务培训次数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01E0B">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BB9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9FF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AD13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53E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6350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BEE3E">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FFD4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AF1C7">
            <w:pPr>
              <w:jc w:val="center"/>
            </w:pPr>
          </w:p>
        </w:tc>
      </w:tr>
      <w:tr w14:paraId="78D252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716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19B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A19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78063">
            <w:pPr>
              <w:jc w:val="center"/>
            </w:pPr>
            <w:r>
              <w:rPr>
                <w:rFonts w:ascii="宋体" w:hAnsi="宋体" w:eastAsia="宋体"/>
                <w:sz w:val="16"/>
              </w:rPr>
              <w:t>人员出差次数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7DF8A">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0CF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B7C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A6EF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076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3226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CE7D0">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B279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34B4E">
            <w:pPr>
              <w:jc w:val="center"/>
            </w:pPr>
          </w:p>
        </w:tc>
      </w:tr>
      <w:tr w14:paraId="1640A8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4AE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620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2183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738D6">
            <w:pPr>
              <w:jc w:val="center"/>
            </w:pPr>
            <w:r>
              <w:rPr>
                <w:rFonts w:ascii="宋体" w:hAnsi="宋体" w:eastAsia="宋体"/>
                <w:sz w:val="16"/>
              </w:rPr>
              <w:t>办公用品采购合格率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3B1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483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181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EEAD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A076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652D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364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D518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D0B81">
            <w:pPr>
              <w:jc w:val="center"/>
            </w:pPr>
          </w:p>
        </w:tc>
      </w:tr>
      <w:tr w14:paraId="7D7090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A57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E10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225E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F5E4E">
            <w:pPr>
              <w:jc w:val="center"/>
            </w:pPr>
            <w:r>
              <w:rPr>
                <w:rFonts w:ascii="宋体" w:hAnsi="宋体" w:eastAsia="宋体"/>
                <w:sz w:val="16"/>
              </w:rPr>
              <w:t>资金拨付及时性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259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DEF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562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3FC7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DA6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0B27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9C943">
            <w:pPr>
              <w:jc w:val="center"/>
            </w:pPr>
            <w:r>
              <w:rPr>
                <w:rFonts w:ascii="宋体" w:hAnsi="宋体" w:eastAsia="宋体"/>
                <w:sz w:val="16"/>
              </w:rPr>
              <w:t>=45.6%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A2E3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10A8D">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206849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3315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5AF67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EB37B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84CFD">
            <w:pPr>
              <w:jc w:val="center"/>
            </w:pPr>
            <w:r>
              <w:rPr>
                <w:rFonts w:ascii="宋体" w:hAnsi="宋体" w:eastAsia="宋体"/>
                <w:sz w:val="16"/>
              </w:rPr>
              <w:t>采购办公用品成本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39A25">
            <w:pPr>
              <w:jc w:val="center"/>
            </w:pPr>
            <w:r>
              <w:rPr>
                <w:rFonts w:ascii="宋体" w:hAnsi="宋体" w:eastAsia="宋体"/>
                <w:sz w:val="16"/>
              </w:rPr>
              <w:t>&lt;=35000元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8E6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F1D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1C7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A99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2E666">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DC547">
            <w:pPr>
              <w:jc w:val="center"/>
            </w:pPr>
            <w:r>
              <w:rPr>
                <w:rFonts w:ascii="宋体" w:hAnsi="宋体" w:eastAsia="宋体"/>
                <w:sz w:val="16"/>
              </w:rPr>
              <w:t>=18730元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4884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336EC">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11A831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5CB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1DA3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422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B205D">
            <w:pPr>
              <w:jc w:val="center"/>
            </w:pPr>
            <w:r>
              <w:rPr>
                <w:rFonts w:ascii="宋体" w:hAnsi="宋体" w:eastAsia="宋体"/>
                <w:sz w:val="16"/>
              </w:rPr>
              <w:t>组织业务培训成本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4EAAC">
            <w:pPr>
              <w:jc w:val="center"/>
            </w:pPr>
            <w:r>
              <w:rPr>
                <w:rFonts w:ascii="宋体" w:hAnsi="宋体" w:eastAsia="宋体"/>
                <w:sz w:val="16"/>
              </w:rPr>
              <w:t>&lt;=1666元/次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47C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668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DE44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36D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50545">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62CCF">
            <w:pPr>
              <w:jc w:val="center"/>
            </w:pPr>
            <w:r>
              <w:rPr>
                <w:rFonts w:ascii="宋体" w:hAnsi="宋体" w:eastAsia="宋体"/>
                <w:sz w:val="16"/>
              </w:rPr>
              <w:t>=900元/次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44D1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4D7E4">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47175E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BE8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956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FDC4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4F099">
            <w:pPr>
              <w:jc w:val="center"/>
            </w:pPr>
            <w:r>
              <w:rPr>
                <w:rFonts w:ascii="宋体" w:hAnsi="宋体" w:eastAsia="宋体"/>
                <w:sz w:val="16"/>
              </w:rPr>
              <w:t>人员出差成本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126C1">
            <w:pPr>
              <w:jc w:val="center"/>
            </w:pPr>
            <w:r>
              <w:rPr>
                <w:rFonts w:ascii="宋体" w:hAnsi="宋体" w:eastAsia="宋体"/>
                <w:sz w:val="16"/>
              </w:rPr>
              <w:t>&lt;=5000元/次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C4F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89B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3AC6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5E3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53649">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28A13">
            <w:pPr>
              <w:jc w:val="center"/>
            </w:pPr>
            <w:r>
              <w:rPr>
                <w:rFonts w:ascii="宋体" w:hAnsi="宋体" w:eastAsia="宋体"/>
                <w:sz w:val="16"/>
              </w:rPr>
              <w:t>=3160元/次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8CE27">
            <w:pPr>
              <w:jc w:val="center"/>
            </w:pPr>
            <w:r>
              <w:rPr>
                <w:rFonts w:ascii="宋体" w:hAnsi="宋体" w:eastAsia="宋体"/>
                <w:sz w:val="16"/>
              </w:rPr>
              <w:t>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C2C06">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624E35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0D4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C991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9067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0BF97">
            <w:pPr>
              <w:jc w:val="center"/>
            </w:pPr>
            <w:r>
              <w:rPr>
                <w:rFonts w:ascii="宋体" w:hAnsi="宋体" w:eastAsia="宋体"/>
                <w:sz w:val="16"/>
              </w:rPr>
              <w:t>推进阿图什市统一社会信用代码证登记管理工作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4DF99">
            <w:pPr>
              <w:jc w:val="center"/>
            </w:pPr>
            <w:r>
              <w:rPr>
                <w:rFonts w:ascii="宋体" w:hAnsi="宋体" w:eastAsia="宋体"/>
                <w:sz w:val="16"/>
              </w:rPr>
              <w:t>加快推进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872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6C1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35EE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C9DD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E9E6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5EA7D">
            <w:pPr>
              <w:jc w:val="center"/>
            </w:pPr>
            <w:r>
              <w:rPr>
                <w:rFonts w:hint="eastAsia" w:ascii="宋体" w:hAnsi="宋体"/>
                <w:sz w:val="16"/>
                <w:lang w:eastAsia="zh-CN"/>
              </w:rPr>
              <w:t>加快</w:t>
            </w: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7782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364E9">
            <w:pPr>
              <w:jc w:val="center"/>
            </w:pPr>
          </w:p>
        </w:tc>
      </w:tr>
      <w:tr w14:paraId="746CF2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D56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7280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49D9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FAEE8">
            <w:pPr>
              <w:jc w:val="center"/>
            </w:pPr>
            <w:r>
              <w:rPr>
                <w:rFonts w:ascii="宋体" w:hAnsi="宋体" w:eastAsia="宋体"/>
                <w:sz w:val="16"/>
              </w:rPr>
              <w:t>受益对象满意度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88F8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2BB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D57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1E7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7D66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43273">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91C6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87E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FFF6B">
            <w:pPr>
              <w:jc w:val="center"/>
            </w:pPr>
          </w:p>
        </w:tc>
      </w:tr>
      <w:tr w14:paraId="3C0F900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AC80C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9FAB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0C0C8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E05EF">
            <w:pPr>
              <w:jc w:val="center"/>
            </w:pPr>
            <w:r>
              <w:rPr>
                <w:rFonts w:ascii="宋体" w:hAnsi="宋体" w:eastAsia="宋体"/>
                <w:sz w:val="16"/>
              </w:rPr>
              <w:t>62.4分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5796F3E"/>
        </w:tc>
      </w:tr>
    </w:tbl>
    <w:p w14:paraId="1D24D34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CAA246F">
        <w:tblPrEx>
          <w:tblCellMar>
            <w:top w:w="0" w:type="dxa"/>
            <w:left w:w="108" w:type="dxa"/>
            <w:bottom w:w="0" w:type="dxa"/>
            <w:right w:w="108" w:type="dxa"/>
          </w:tblCellMar>
        </w:tblPrEx>
        <w:tc>
          <w:tcPr>
            <w:tcW w:w="8848" w:type="dxa"/>
            <w:gridSpan w:val="14"/>
            <w:vAlign w:val="center"/>
          </w:tcPr>
          <w:p w14:paraId="7DDAAD26">
            <w:pPr>
              <w:jc w:val="center"/>
            </w:pPr>
            <w:r>
              <w:rPr>
                <w:rFonts w:ascii="宋体" w:hAnsi="宋体" w:eastAsia="宋体"/>
                <w:sz w:val="24"/>
              </w:rPr>
              <w:t>项目支出绩效自评表</w:t>
            </w:r>
          </w:p>
        </w:tc>
      </w:tr>
      <w:tr w14:paraId="3E95B094">
        <w:tblPrEx>
          <w:tblCellMar>
            <w:top w:w="0" w:type="dxa"/>
            <w:left w:w="108" w:type="dxa"/>
            <w:bottom w:w="0" w:type="dxa"/>
            <w:right w:w="108" w:type="dxa"/>
          </w:tblCellMar>
        </w:tblPrEx>
        <w:tc>
          <w:tcPr>
            <w:tcW w:w="8848" w:type="dxa"/>
            <w:gridSpan w:val="14"/>
            <w:vAlign w:val="center"/>
          </w:tcPr>
          <w:p w14:paraId="1F0592EC">
            <w:pPr>
              <w:jc w:val="center"/>
            </w:pPr>
            <w:r>
              <w:rPr>
                <w:rFonts w:ascii="宋体" w:hAnsi="宋体" w:eastAsia="宋体"/>
                <w:sz w:val="24"/>
              </w:rPr>
              <w:t>(2024年度)</w:t>
            </w:r>
          </w:p>
        </w:tc>
      </w:tr>
      <w:tr w14:paraId="0A75EC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FF77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126D8B8">
            <w:pPr>
              <w:jc w:val="center"/>
            </w:pPr>
            <w:r>
              <w:rPr>
                <w:rFonts w:ascii="宋体" w:hAnsi="宋体" w:eastAsia="宋体"/>
                <w:sz w:val="16"/>
              </w:rPr>
              <w:t>行政事业单位机构改革工作经费</w:t>
            </w:r>
          </w:p>
        </w:tc>
      </w:tr>
      <w:tr w14:paraId="0E5430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BA76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697312">
            <w:pPr>
              <w:jc w:val="center"/>
            </w:pPr>
            <w:r>
              <w:rPr>
                <w:rFonts w:ascii="宋体" w:hAnsi="宋体" w:eastAsia="宋体"/>
                <w:sz w:val="16"/>
              </w:rPr>
              <w:t>中共阿图什市委员会机构编制委员会办公室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3DB0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951A15">
            <w:pPr>
              <w:jc w:val="center"/>
            </w:pPr>
            <w:r>
              <w:rPr>
                <w:rFonts w:ascii="宋体" w:hAnsi="宋体" w:eastAsia="宋体"/>
                <w:sz w:val="16"/>
              </w:rPr>
              <w:t>中共阿图什市委员会机构编制委员会办公室</w:t>
            </w:r>
          </w:p>
        </w:tc>
      </w:tr>
      <w:tr w14:paraId="484986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E9ECB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A3C5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EEFE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5F3C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79A2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FDBD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8878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EEB1B">
            <w:pPr>
              <w:jc w:val="center"/>
            </w:pPr>
            <w:r>
              <w:rPr>
                <w:rFonts w:ascii="宋体" w:hAnsi="宋体" w:eastAsia="宋体"/>
                <w:sz w:val="16"/>
              </w:rPr>
              <w:t>得分</w:t>
            </w:r>
          </w:p>
        </w:tc>
      </w:tr>
      <w:tr w14:paraId="4C39DD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316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BD50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5633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B3ED5">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C8A14">
            <w:pPr>
              <w:jc w:val="center"/>
            </w:pPr>
            <w:r>
              <w:rPr>
                <w:rFonts w:ascii="宋体" w:hAnsi="宋体" w:eastAsia="宋体"/>
                <w:sz w:val="16"/>
              </w:rPr>
              <w:t>2.10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C38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05592">
            <w:pPr>
              <w:jc w:val="center"/>
            </w:pPr>
            <w:r>
              <w:rPr>
                <w:rFonts w:ascii="宋体" w:hAnsi="宋体" w:eastAsia="宋体"/>
                <w:sz w:val="16"/>
              </w:rPr>
              <w:t>42.0%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637F6">
            <w:pPr>
              <w:jc w:val="center"/>
            </w:pPr>
            <w:r>
              <w:rPr>
                <w:rFonts w:ascii="宋体" w:hAnsi="宋体" w:eastAsia="宋体"/>
                <w:sz w:val="16"/>
              </w:rPr>
              <w:t>0.00分</w:t>
            </w:r>
          </w:p>
        </w:tc>
      </w:tr>
      <w:tr w14:paraId="1AB9FC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384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6B60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F88BC">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941BC">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5DDC2">
            <w:pPr>
              <w:jc w:val="center"/>
            </w:pPr>
            <w:r>
              <w:rPr>
                <w:rFonts w:ascii="宋体" w:hAnsi="宋体" w:eastAsia="宋体"/>
                <w:sz w:val="16"/>
              </w:rPr>
              <w:t>2.10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43F5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C33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67BC9">
            <w:pPr>
              <w:jc w:val="center"/>
            </w:pPr>
            <w:r>
              <w:rPr>
                <w:rFonts w:ascii="宋体" w:hAnsi="宋体" w:eastAsia="宋体"/>
                <w:sz w:val="16"/>
              </w:rPr>
              <w:t>—</w:t>
            </w:r>
          </w:p>
        </w:tc>
      </w:tr>
      <w:tr w14:paraId="077A87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5C1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046E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714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63E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5CD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2E5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DCC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4F6DF">
            <w:pPr>
              <w:jc w:val="center"/>
            </w:pPr>
            <w:r>
              <w:rPr>
                <w:rFonts w:ascii="宋体" w:hAnsi="宋体" w:eastAsia="宋体"/>
                <w:sz w:val="16"/>
              </w:rPr>
              <w:t>—</w:t>
            </w:r>
          </w:p>
        </w:tc>
      </w:tr>
      <w:tr w14:paraId="594942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131DA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B59A0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87CA4C">
            <w:pPr>
              <w:jc w:val="center"/>
            </w:pPr>
            <w:r>
              <w:rPr>
                <w:rFonts w:ascii="宋体" w:hAnsi="宋体" w:eastAsia="宋体"/>
                <w:sz w:val="16"/>
              </w:rPr>
              <w:t>实际完成情况</w:t>
            </w:r>
          </w:p>
        </w:tc>
      </w:tr>
      <w:tr w14:paraId="11682A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5F1B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6250B1">
            <w:pPr>
              <w:jc w:val="both"/>
            </w:pPr>
            <w:r>
              <w:rPr>
                <w:rFonts w:ascii="宋体" w:hAnsi="宋体" w:eastAsia="宋体"/>
                <w:sz w:val="16"/>
              </w:rPr>
              <w:t>根据《阿图什市委员会机构编制委员会办公室班子会议纪要》2024年度计划用于党政机构（37个）改革及事业单位（125个）改革产生的办公费、购买（维修）设备费、耗材费、宣传培训费、租赁费、差旅费等。通过项目实施深入推进地县深化党政机构改革及事业单位改革，优化全市党政机构改革及事业单位改革布局结构，合理配置编制资源。</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E6C4BD">
            <w:pPr>
              <w:jc w:val="both"/>
            </w:pPr>
            <w:r>
              <w:rPr>
                <w:rFonts w:ascii="宋体" w:hAnsi="宋体" w:eastAsia="宋体"/>
                <w:sz w:val="16"/>
              </w:rPr>
              <w:t>本项目共计支出2.095万元，用于采购办公用品1批，出差人员数量1次；通过实施本项目深入推进地县深化党政机构改革及事业单位改革，优化全市党政机构改革及事业单位改革布局结构，合理配置编制资源。</w:t>
            </w:r>
          </w:p>
        </w:tc>
      </w:tr>
      <w:tr w14:paraId="24D4E4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ABE8B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9F93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7707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26AC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4DAF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E619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4085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E780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E43B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1AE2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A8F8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A28D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EB84B">
            <w:pPr>
              <w:jc w:val="center"/>
            </w:pPr>
            <w:r>
              <w:rPr>
                <w:rFonts w:ascii="宋体" w:hAnsi="宋体" w:eastAsia="宋体"/>
                <w:sz w:val="16"/>
              </w:rPr>
              <w:t>偏差原因分析及改进措施</w:t>
            </w:r>
          </w:p>
        </w:tc>
      </w:tr>
      <w:tr w14:paraId="287355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C8C21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9BADD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8DB72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21FD6">
            <w:pPr>
              <w:jc w:val="center"/>
            </w:pPr>
            <w:r>
              <w:rPr>
                <w:rFonts w:ascii="宋体" w:hAnsi="宋体" w:eastAsia="宋体"/>
                <w:sz w:val="16"/>
              </w:rPr>
              <w:t>购买办公用品数量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17218">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7C5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5F0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C0E9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F8A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35080">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9839C">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E84A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9CBB6">
            <w:pPr>
              <w:jc w:val="center"/>
            </w:pPr>
          </w:p>
        </w:tc>
      </w:tr>
      <w:tr w14:paraId="7E49D5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C23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907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C79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1C921">
            <w:pPr>
              <w:jc w:val="center"/>
            </w:pPr>
            <w:r>
              <w:rPr>
                <w:rFonts w:ascii="宋体" w:hAnsi="宋体" w:eastAsia="宋体"/>
                <w:sz w:val="16"/>
              </w:rPr>
              <w:t>租赁车辆数量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13AD2">
            <w:pPr>
              <w:jc w:val="center"/>
            </w:pPr>
            <w:r>
              <w:rPr>
                <w:rFonts w:ascii="宋体" w:hAnsi="宋体" w:eastAsia="宋体"/>
                <w:sz w:val="16"/>
              </w:rPr>
              <w:t>&gt;=1辆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BA4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808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2EEA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162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2B4E3">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339F4">
            <w:pPr>
              <w:jc w:val="center"/>
            </w:pPr>
            <w:r>
              <w:rPr>
                <w:rFonts w:ascii="宋体" w:hAnsi="宋体" w:eastAsia="宋体"/>
                <w:sz w:val="16"/>
              </w:rPr>
              <w:t>=0辆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3540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034C7">
            <w:pPr>
              <w:jc w:val="center"/>
            </w:pPr>
            <w:r>
              <w:rPr>
                <w:rFonts w:ascii="宋体" w:hAnsi="宋体" w:eastAsia="宋体"/>
                <w:sz w:val="16"/>
              </w:rPr>
              <w:t>原因：车辆由机关事务管理局调配，因此尚未租车；措施：今后做好项目计划，减少偏差。</w:t>
            </w:r>
          </w:p>
        </w:tc>
      </w:tr>
      <w:tr w14:paraId="4EF754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06D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6067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BA6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B1DDA">
            <w:pPr>
              <w:jc w:val="center"/>
            </w:pPr>
            <w:r>
              <w:rPr>
                <w:rFonts w:ascii="宋体" w:hAnsi="宋体" w:eastAsia="宋体"/>
                <w:sz w:val="16"/>
              </w:rPr>
              <w:t>人员出差次数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C09AD">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D2A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9BA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25C8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C5A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FB23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D52C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49A8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F6A97">
            <w:pPr>
              <w:jc w:val="center"/>
            </w:pPr>
            <w:r>
              <w:rPr>
                <w:rFonts w:ascii="宋体" w:hAnsi="宋体" w:eastAsia="宋体"/>
                <w:sz w:val="16"/>
              </w:rPr>
              <w:t>原因：根据实际情况进行出差工作，因此指标存在偏差；措施：今后做好项目计划，减少偏差。</w:t>
            </w:r>
          </w:p>
        </w:tc>
      </w:tr>
      <w:tr w14:paraId="6956DC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62F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CAE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1107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194EE">
            <w:pPr>
              <w:jc w:val="center"/>
            </w:pPr>
            <w:r>
              <w:rPr>
                <w:rFonts w:ascii="宋体" w:hAnsi="宋体" w:eastAsia="宋体"/>
                <w:sz w:val="16"/>
              </w:rPr>
              <w:t>采购办公用品合格率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24E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354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747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E0A7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2D5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7E194">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B4A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1362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95549">
            <w:pPr>
              <w:jc w:val="center"/>
            </w:pPr>
          </w:p>
        </w:tc>
      </w:tr>
      <w:tr w14:paraId="251AAB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F69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3C0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84EC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CCDFB">
            <w:pPr>
              <w:jc w:val="center"/>
            </w:pPr>
            <w:r>
              <w:rPr>
                <w:rFonts w:ascii="宋体" w:hAnsi="宋体" w:eastAsia="宋体"/>
                <w:sz w:val="16"/>
              </w:rPr>
              <w:t>资金拨付及时性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5A7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D11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F53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28AB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3A5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F2C4D">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4D4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B978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59AF2">
            <w:pPr>
              <w:jc w:val="center"/>
            </w:pPr>
          </w:p>
        </w:tc>
      </w:tr>
      <w:tr w14:paraId="6BB307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9DE0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874FA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C76C3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FCF01">
            <w:pPr>
              <w:jc w:val="center"/>
            </w:pPr>
            <w:r>
              <w:rPr>
                <w:rFonts w:ascii="宋体" w:hAnsi="宋体" w:eastAsia="宋体"/>
                <w:sz w:val="16"/>
              </w:rPr>
              <w:t>采购办公用品成本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94CE7">
            <w:pPr>
              <w:jc w:val="center"/>
            </w:pPr>
            <w:r>
              <w:rPr>
                <w:rFonts w:ascii="宋体" w:hAnsi="宋体" w:eastAsia="宋体"/>
                <w:sz w:val="16"/>
              </w:rPr>
              <w:t>&lt;=25000元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600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B30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90A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BF3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02A5C">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7B592">
            <w:pPr>
              <w:jc w:val="center"/>
            </w:pPr>
            <w:r>
              <w:rPr>
                <w:rFonts w:ascii="宋体" w:hAnsi="宋体" w:eastAsia="宋体"/>
                <w:sz w:val="16"/>
              </w:rPr>
              <w:t>=18270元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D083F">
            <w:pPr>
              <w:jc w:val="center"/>
            </w:pPr>
            <w:r>
              <w:rPr>
                <w:rFonts w:ascii="宋体" w:hAnsi="宋体" w:eastAsia="宋体"/>
                <w:sz w:val="16"/>
              </w:rPr>
              <w:t>3.27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16A63">
            <w:pPr>
              <w:jc w:val="center"/>
            </w:pPr>
            <w:r>
              <w:rPr>
                <w:rFonts w:ascii="宋体" w:hAnsi="宋体" w:eastAsia="宋体"/>
                <w:sz w:val="16"/>
              </w:rPr>
              <w:t>原因：根据实际产生的费用进行支出，因此指标完成情况存在偏差；措施：今后做好项目计划，减少偏差。</w:t>
            </w:r>
          </w:p>
        </w:tc>
      </w:tr>
      <w:tr w14:paraId="0BA729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6E22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EF1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2DC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EFB53">
            <w:pPr>
              <w:jc w:val="center"/>
            </w:pPr>
            <w:r>
              <w:rPr>
                <w:rFonts w:ascii="宋体" w:hAnsi="宋体" w:eastAsia="宋体"/>
                <w:sz w:val="16"/>
              </w:rPr>
              <w:t>租赁车辆成本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71209">
            <w:pPr>
              <w:jc w:val="center"/>
            </w:pPr>
            <w:r>
              <w:rPr>
                <w:rFonts w:ascii="宋体" w:hAnsi="宋体" w:eastAsia="宋体"/>
                <w:sz w:val="16"/>
              </w:rPr>
              <w:t>&lt;=15000元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405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887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BD39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E7C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CB81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615DF">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8E51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F0DC4">
            <w:pPr>
              <w:jc w:val="center"/>
            </w:pPr>
            <w:r>
              <w:rPr>
                <w:rFonts w:ascii="宋体" w:hAnsi="宋体" w:eastAsia="宋体"/>
                <w:sz w:val="16"/>
              </w:rPr>
              <w:t>原因：根据实际产生的费用进行支出，因此指标完成情况存在偏差；措施：今后做好项目计划，减少偏差。</w:t>
            </w:r>
          </w:p>
        </w:tc>
      </w:tr>
      <w:tr w14:paraId="6C8EE3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3D1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74D7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49D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65438">
            <w:pPr>
              <w:jc w:val="center"/>
            </w:pPr>
            <w:r>
              <w:rPr>
                <w:rFonts w:ascii="宋体" w:hAnsi="宋体" w:eastAsia="宋体"/>
                <w:sz w:val="16"/>
              </w:rPr>
              <w:t>人员出差成本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4846C">
            <w:pPr>
              <w:jc w:val="center"/>
            </w:pPr>
            <w:r>
              <w:rPr>
                <w:rFonts w:ascii="宋体" w:hAnsi="宋体" w:eastAsia="宋体"/>
                <w:sz w:val="16"/>
              </w:rPr>
              <w:t>&lt;=5000元/次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DFE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E74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FCA4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EE9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A84D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91AF5">
            <w:pPr>
              <w:jc w:val="center"/>
            </w:pPr>
            <w:r>
              <w:rPr>
                <w:rFonts w:ascii="宋体" w:hAnsi="宋体" w:eastAsia="宋体"/>
                <w:sz w:val="16"/>
              </w:rPr>
              <w:t>=2680元/次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630E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ECD00">
            <w:pPr>
              <w:jc w:val="center"/>
            </w:pPr>
            <w:r>
              <w:rPr>
                <w:rFonts w:ascii="宋体" w:hAnsi="宋体" w:eastAsia="宋体"/>
                <w:sz w:val="16"/>
              </w:rPr>
              <w:t>原因：根据实际产生的费用进行支出，因此指标完成情况存在偏差；措施：今后做好项目计划，减少偏差。</w:t>
            </w:r>
          </w:p>
        </w:tc>
      </w:tr>
      <w:tr w14:paraId="50AF4A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920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945F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EE08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B40AD">
            <w:pPr>
              <w:jc w:val="center"/>
            </w:pPr>
            <w:r>
              <w:rPr>
                <w:rFonts w:ascii="宋体" w:hAnsi="宋体" w:eastAsia="宋体"/>
                <w:sz w:val="16"/>
              </w:rPr>
              <w:t>优化全市党政机构改革及事业单位改革布局结构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56B65">
            <w:pPr>
              <w:jc w:val="center"/>
            </w:pPr>
            <w:r>
              <w:rPr>
                <w:rFonts w:ascii="宋体" w:hAnsi="宋体" w:eastAsia="宋体"/>
                <w:sz w:val="16"/>
              </w:rPr>
              <w:t>有效优化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378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5F2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3AEA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3A11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B840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AEDE5">
            <w:pPr>
              <w:jc w:val="center"/>
            </w:pPr>
            <w:r>
              <w:rPr>
                <w:rFonts w:ascii="宋体" w:hAnsi="宋体" w:eastAsia="宋体"/>
                <w:sz w:val="16"/>
              </w:rPr>
              <w:t>有效优化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60D1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3D0D0">
            <w:pPr>
              <w:jc w:val="center"/>
            </w:pPr>
          </w:p>
        </w:tc>
      </w:tr>
      <w:tr w14:paraId="2EA904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865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42C0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30E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C8675">
            <w:pPr>
              <w:jc w:val="center"/>
            </w:pPr>
            <w:r>
              <w:rPr>
                <w:rFonts w:ascii="宋体" w:hAnsi="宋体" w:eastAsia="宋体"/>
                <w:sz w:val="16"/>
              </w:rPr>
              <w:t>受益对象满意度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BC2C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3E6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C35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C01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0BB1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FFC5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29D6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A48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EF0E0">
            <w:pPr>
              <w:jc w:val="center"/>
            </w:pPr>
          </w:p>
        </w:tc>
      </w:tr>
      <w:tr w14:paraId="17EA657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416D7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4252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FAC46DD">
            <w:bookmarkStart w:id="0" w:name="_GoBack"/>
            <w:bookmarkEnd w:id="0"/>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96CA5">
            <w:pPr>
              <w:jc w:val="center"/>
            </w:pPr>
            <w:r>
              <w:rPr>
                <w:rFonts w:ascii="宋体" w:hAnsi="宋体" w:eastAsia="宋体"/>
                <w:sz w:val="16"/>
              </w:rPr>
              <w:t>57.27分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DE40064"/>
        </w:tc>
      </w:tr>
    </w:tbl>
    <w:p w14:paraId="5BB2E086">
      <w:r>
        <w:br w:type="page"/>
      </w:r>
    </w:p>
    <w:p w14:paraId="58E6B24E">
      <w:pPr>
        <w:spacing w:line="640" w:lineRule="exact"/>
        <w:ind w:firstLine="640"/>
        <w:jc w:val="both"/>
        <w:outlineLvl w:val="2"/>
      </w:pPr>
      <w:r>
        <w:rPr>
          <w:rFonts w:ascii="黑体" w:hAnsi="黑体" w:eastAsia="黑体"/>
          <w:sz w:val="32"/>
        </w:rPr>
        <w:t>十二、其他需说明的事项</w:t>
      </w:r>
    </w:p>
    <w:p w14:paraId="0F5C66F6">
      <w:pPr>
        <w:spacing w:line="580" w:lineRule="exact"/>
        <w:ind w:firstLine="640"/>
        <w:jc w:val="both"/>
      </w:pPr>
      <w:r>
        <w:rPr>
          <w:rFonts w:ascii="仿宋_GB2312" w:hAnsi="仿宋_GB2312" w:eastAsia="仿宋_GB2312"/>
          <w:b w:val="0"/>
          <w:sz w:val="32"/>
        </w:rPr>
        <w:t>本单位无其他需说明的事项。</w:t>
      </w:r>
    </w:p>
    <w:p w14:paraId="0236BA48">
      <w:r>
        <w:br w:type="page"/>
      </w:r>
    </w:p>
    <w:p w14:paraId="146FC341">
      <w:pPr>
        <w:spacing w:line="240" w:lineRule="auto"/>
        <w:jc w:val="center"/>
        <w:outlineLvl w:val="1"/>
      </w:pPr>
      <w:r>
        <w:rPr>
          <w:rFonts w:ascii="黑体" w:hAnsi="黑体" w:eastAsia="黑体"/>
          <w:sz w:val="32"/>
        </w:rPr>
        <w:t>第三部分 专业名词解释</w:t>
      </w:r>
    </w:p>
    <w:p w14:paraId="731E2B3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B28A6B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E3A791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F5E870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B46CA7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EA56A7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BDF7ED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FB2308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E62329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9AE5FE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D258AB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F6ECC8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D87C7F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404CA1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75C7B2F">
      <w:r>
        <w:br w:type="page"/>
      </w:r>
    </w:p>
    <w:p w14:paraId="69C0ED7F">
      <w:pPr>
        <w:spacing w:line="240" w:lineRule="auto"/>
        <w:jc w:val="center"/>
        <w:outlineLvl w:val="1"/>
      </w:pPr>
      <w:r>
        <w:rPr>
          <w:rFonts w:ascii="黑体" w:hAnsi="黑体" w:eastAsia="黑体"/>
          <w:sz w:val="32"/>
        </w:rPr>
        <w:t>第四部分 部门决算报表（见附表）</w:t>
      </w:r>
    </w:p>
    <w:p w14:paraId="0F842F1A">
      <w:pPr>
        <w:spacing w:line="240" w:lineRule="auto"/>
        <w:ind w:firstLine="640"/>
        <w:jc w:val="both"/>
      </w:pPr>
      <w:r>
        <w:rPr>
          <w:rFonts w:ascii="仿宋_GB2312" w:hAnsi="仿宋_GB2312" w:eastAsia="仿宋_GB2312"/>
          <w:b w:val="0"/>
          <w:sz w:val="32"/>
        </w:rPr>
        <w:t>一、《收入支出决算总表》</w:t>
      </w:r>
    </w:p>
    <w:p w14:paraId="3174C4FC">
      <w:pPr>
        <w:spacing w:line="240" w:lineRule="auto"/>
        <w:ind w:firstLine="640"/>
        <w:jc w:val="both"/>
      </w:pPr>
      <w:r>
        <w:rPr>
          <w:rFonts w:ascii="仿宋_GB2312" w:hAnsi="仿宋_GB2312" w:eastAsia="仿宋_GB2312"/>
          <w:b w:val="0"/>
          <w:sz w:val="32"/>
        </w:rPr>
        <w:t>二、《收入决算表》</w:t>
      </w:r>
    </w:p>
    <w:p w14:paraId="743DE2EE">
      <w:pPr>
        <w:spacing w:line="240" w:lineRule="auto"/>
        <w:ind w:firstLine="640"/>
        <w:jc w:val="both"/>
      </w:pPr>
      <w:r>
        <w:rPr>
          <w:rFonts w:ascii="仿宋_GB2312" w:hAnsi="仿宋_GB2312" w:eastAsia="仿宋_GB2312"/>
          <w:b w:val="0"/>
          <w:sz w:val="32"/>
        </w:rPr>
        <w:t>三、《支出决算表》</w:t>
      </w:r>
    </w:p>
    <w:p w14:paraId="32FE3968">
      <w:pPr>
        <w:spacing w:line="240" w:lineRule="auto"/>
        <w:ind w:firstLine="640"/>
        <w:jc w:val="both"/>
      </w:pPr>
      <w:r>
        <w:rPr>
          <w:rFonts w:ascii="仿宋_GB2312" w:hAnsi="仿宋_GB2312" w:eastAsia="仿宋_GB2312"/>
          <w:b w:val="0"/>
          <w:sz w:val="32"/>
        </w:rPr>
        <w:t>四、《财政拨款收入支出决算总表》</w:t>
      </w:r>
    </w:p>
    <w:p w14:paraId="7F45C0CE">
      <w:pPr>
        <w:spacing w:line="240" w:lineRule="auto"/>
        <w:ind w:firstLine="640"/>
        <w:jc w:val="both"/>
      </w:pPr>
      <w:r>
        <w:rPr>
          <w:rFonts w:ascii="仿宋_GB2312" w:hAnsi="仿宋_GB2312" w:eastAsia="仿宋_GB2312"/>
          <w:b w:val="0"/>
          <w:sz w:val="32"/>
        </w:rPr>
        <w:t>五、《一般公共预算财政拨款支出决算表》</w:t>
      </w:r>
    </w:p>
    <w:p w14:paraId="082C0EBA">
      <w:pPr>
        <w:spacing w:line="240" w:lineRule="auto"/>
        <w:ind w:firstLine="640"/>
        <w:jc w:val="both"/>
      </w:pPr>
      <w:r>
        <w:rPr>
          <w:rFonts w:ascii="仿宋_GB2312" w:hAnsi="仿宋_GB2312" w:eastAsia="仿宋_GB2312"/>
          <w:b w:val="0"/>
          <w:sz w:val="32"/>
        </w:rPr>
        <w:t>六、《一般公共预算财政拨款基本支出决算表》</w:t>
      </w:r>
    </w:p>
    <w:p w14:paraId="0E02E2B6">
      <w:pPr>
        <w:spacing w:line="240" w:lineRule="auto"/>
        <w:ind w:firstLine="640"/>
        <w:jc w:val="both"/>
      </w:pPr>
      <w:r>
        <w:rPr>
          <w:rFonts w:ascii="仿宋_GB2312" w:hAnsi="仿宋_GB2312" w:eastAsia="仿宋_GB2312"/>
          <w:b w:val="0"/>
          <w:sz w:val="32"/>
        </w:rPr>
        <w:t>七、《政府性基金预算财政拨款收入支出决算表》</w:t>
      </w:r>
    </w:p>
    <w:p w14:paraId="52750D93">
      <w:pPr>
        <w:spacing w:line="240" w:lineRule="auto"/>
        <w:ind w:firstLine="640"/>
        <w:jc w:val="both"/>
      </w:pPr>
      <w:r>
        <w:rPr>
          <w:rFonts w:ascii="仿宋_GB2312" w:hAnsi="仿宋_GB2312" w:eastAsia="仿宋_GB2312"/>
          <w:b w:val="0"/>
          <w:sz w:val="32"/>
        </w:rPr>
        <w:t>八、《国有资本经营预算财政拨款收入支出决算表》</w:t>
      </w:r>
    </w:p>
    <w:p w14:paraId="6C272474">
      <w:pPr>
        <w:spacing w:line="240" w:lineRule="auto"/>
        <w:ind w:firstLine="640"/>
        <w:jc w:val="both"/>
      </w:pPr>
      <w:r>
        <w:rPr>
          <w:rFonts w:ascii="仿宋_GB2312" w:hAnsi="仿宋_GB2312" w:eastAsia="仿宋_GB2312"/>
          <w:b w:val="0"/>
          <w:sz w:val="32"/>
        </w:rPr>
        <w:t>九、《财政拨款“三公”经费支出决算表》</w:t>
      </w:r>
    </w:p>
    <w:p w14:paraId="7DAD8ED0">
      <w:pPr>
        <w:spacing w:line="240" w:lineRule="auto"/>
        <w:ind w:firstLine="640"/>
        <w:jc w:val="both"/>
      </w:pPr>
    </w:p>
    <w:p w14:paraId="1E108BBD">
      <w:pPr>
        <w:spacing w:line="240" w:lineRule="auto"/>
        <w:ind w:firstLine="640"/>
        <w:jc w:val="both"/>
      </w:pPr>
    </w:p>
    <w:p w14:paraId="56FFA48D">
      <w:pPr>
        <w:spacing w:line="240" w:lineRule="auto"/>
        <w:ind w:firstLine="640"/>
        <w:jc w:val="both"/>
      </w:pPr>
    </w:p>
    <w:p w14:paraId="0440C6AF">
      <w:pPr>
        <w:spacing w:line="240" w:lineRule="auto"/>
        <w:ind w:firstLine="640"/>
        <w:jc w:val="both"/>
      </w:pPr>
    </w:p>
    <w:p w14:paraId="7557458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25D86"/>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E962C0F"/>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EB42031"/>
    <w:rsid w:val="5FA17648"/>
    <w:rsid w:val="5FD320BD"/>
    <w:rsid w:val="5FE61A97"/>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4961</Words>
  <Characters>5613</Characters>
  <Lines>0</Lines>
  <Paragraphs>0</Paragraphs>
  <TotalTime>7</TotalTime>
  <ScaleCrop>false</ScaleCrop>
  <LinksUpToDate>false</LinksUpToDate>
  <CharactersWithSpaces>5621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2025-09-08T10:23:32Z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