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统一社会信用代码登记管理费</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项目名称：统一社会信用代码登记管理费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项目单位：中共阿图什市委员会机构编制委员会办公室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主管部门：中共阿图什市委员会机构编制委员会办公室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统一社会信用代码登记管理费</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财政部、国家发展改革委关于公布取消和停止征收100项行政事业性收费项目的通知》、《关于贯彻落实取消事业单位登记费并做好相关工作的通知》文件精神，自2009年1月1日起取消”事业单位登记管理费”“依法履行行政管理职能或核发证照所要的经费由同级财政预算予以保障”</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统一社会信用代码登记管理费是用于我市统一社会信用代码登记工作，实施统一社会信用代码，统筹资源管理，稳步实施源头赋码，准确制发统一代码，规范基础业务，推动统一代码的应用。</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根据《阿图什市委员会机构编制委员会办公室班子会议纪要》，2024年度计划采购办公用品1批、组织业务培训3次、人员出差2次，通过项目实施加快推进了阿图什市统一社会信用代码登记管理工作持续健康发展。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机构编制委员会办公室,实施单位为中共阿图什市委员会机构编制委员会办公室，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5</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资金使用情况：根据项目实施情况，项目资金实际支付2.279万元，资金执行率达到</w:t>
      </w:r>
      <w:r>
        <w:rPr>
          <w:rStyle w:val="11"/>
          <w:rFonts w:hint="eastAsia" w:ascii="仿宋_GB2312" w:hAnsi="仿宋_GB2312" w:cs="仿宋_GB2312"/>
          <w:b w:val="0"/>
          <w:color w:val="auto"/>
          <w:spacing w:val="-4"/>
          <w:sz w:val="32"/>
          <w:szCs w:val="30"/>
          <w:highlight w:val="none"/>
          <w:lang w:val="en-US" w:eastAsia="zh-CN"/>
        </w:rPr>
        <w:t>45.6</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18730元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组织业务培训成本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900元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人员出差成本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3160元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委员会机构编制委员会办公室班子会议纪要》，2024年度计划采购办公用品1批、组织业务培训3次、人员出差2次，通过项目实施加快推进了阿图什市统一社会信用代码登记管理工作持续健康发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统一社会信用代码登记管理</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统一社会信用代码登记管理费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统一社会信用代码登记管理费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统一社会信用代码登记管理费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4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4"/>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724"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24"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李素琴</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24"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刘佩</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24"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阿塔吾拉·司马义</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统一社会信用代码登记管理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组织管理、产出与效益效果。在此基础上，以相关的项目数据为基础，综合运用不同的评价方法，结合评价标准和评分规则，统一社会信用代码登记管理费项目综合得分为90分，</w:t>
      </w:r>
      <w:r>
        <w:rPr>
          <w:rFonts w:hint="eastAsia" w:ascii="仿宋_GB2312" w:hAnsi="Cambria" w:eastAsia="仿宋_GB2312"/>
          <w:color w:val="auto"/>
          <w:sz w:val="32"/>
          <w:szCs w:val="32"/>
          <w:highlight w:val="none"/>
        </w:rPr>
        <w:t>评价结果为优</w:t>
      </w:r>
      <w:r>
        <w:rPr>
          <w:rFonts w:hint="eastAsia" w:ascii="仿宋_GB2312" w:hAnsi="Cambria" w:eastAsia="仿宋_GB2312"/>
          <w:color w:val="auto"/>
          <w:sz w:val="32"/>
          <w:szCs w:val="32"/>
          <w:highlight w:val="none"/>
          <w:lang w:eastAsia="zh-CN"/>
        </w:rPr>
        <w:t>。</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年统一社会信用代码登记管理费评价得分情况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716"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3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14.3</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预算执行率扣2.7分</w:t>
            </w:r>
          </w:p>
        </w:tc>
      </w:tr>
      <w:tr>
        <w:tblPrEx>
          <w:tblLayout w:type="fixed"/>
          <w:tblCellMar>
            <w:top w:w="0" w:type="dxa"/>
            <w:left w:w="10" w:type="dxa"/>
            <w:bottom w:w="0" w:type="dxa"/>
            <w:right w:w="10" w:type="dxa"/>
          </w:tblCellMar>
        </w:tblPrEx>
        <w:trPr>
          <w:trHeight w:val="1100"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22.7</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时效指标扣4.3分</w:t>
            </w:r>
          </w:p>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成本指标扣3分</w:t>
            </w:r>
          </w:p>
        </w:tc>
      </w:tr>
      <w:tr>
        <w:tblPrEx>
          <w:tblLayout w:type="fixed"/>
          <w:tblCellMar>
            <w:top w:w="0" w:type="dxa"/>
            <w:left w:w="10" w:type="dxa"/>
            <w:bottom w:w="0" w:type="dxa"/>
            <w:right w:w="10" w:type="dxa"/>
          </w:tblCellMar>
        </w:tblPrEx>
        <w:trPr>
          <w:trHeight w:val="644"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644"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年已完成采购办公用品1批、组织业务培训3次、人员出差2次等工作；通过该项目的实施加快推进了阿图什市统一社会信用代码登记管理工作持续健康发展。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统一社会信用代码登记管理费</w:t>
      </w:r>
      <w:r>
        <w:rPr>
          <w:rFonts w:hint="eastAsia" w:ascii="仿宋_GB2312" w:hAnsi="仿宋_GB2312" w:cs="仿宋_GB2312"/>
          <w:color w:val="auto"/>
          <w:sz w:val="32"/>
          <w:szCs w:val="32"/>
          <w:highlight w:val="none"/>
        </w:rPr>
        <w:t>支出共计2.279万元，评价得分值</w:t>
      </w:r>
      <w:r>
        <w:rPr>
          <w:rFonts w:hint="eastAsia" w:ascii="仿宋_GB2312" w:hAnsi="仿宋_GB2312" w:cs="仿宋_GB2312"/>
          <w:color w:val="auto"/>
          <w:sz w:val="32"/>
          <w:szCs w:val="32"/>
          <w:highlight w:val="none"/>
          <w:lang w:val="en-US" w:eastAsia="zh-CN"/>
        </w:rPr>
        <w:t>90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统一社会信用代码登记管理费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数量指标为组织业务培训次数，预期指标值是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数量指标为人员出差次数，预期指标值是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2次，指标达到预期目标。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质量指标为办公用品采购合格率，预期指标值是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时效指标为资金拨付及时性，预期指标值是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45.6%，指标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35000元，实际完成值是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18730元，指标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组织业务培训成本，预期指标值是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1666元/次，实际完成值是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900元/次，指标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人员出差成本，预期指标值是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5000元/次，实际完成值是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3160元/次，指标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指标为推进阿图什市统一社会信用代码登记管理工作，预期指标值是加快推进，实际完成值是加开推进，指标达到预期目标。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满意度指标为受益对象满意度，预期指标值是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5</w:t>
      </w:r>
      <w:r>
        <w:rPr>
          <w:rFonts w:hint="eastAsia"/>
          <w:color w:val="auto"/>
          <w:sz w:val="32"/>
          <w:highlight w:val="none"/>
        </w:rPr>
        <w:t>万元，执行数2.279万元，执行率</w:t>
      </w:r>
      <w:r>
        <w:rPr>
          <w:rFonts w:hint="eastAsia"/>
          <w:color w:val="auto"/>
          <w:sz w:val="32"/>
          <w:highlight w:val="none"/>
          <w:lang w:val="en-US" w:eastAsia="zh-CN"/>
        </w:rPr>
        <w:t>45.6</w:t>
      </w:r>
      <w:r>
        <w:rPr>
          <w:rFonts w:hint="eastAsia"/>
          <w:color w:val="auto"/>
          <w:sz w:val="32"/>
          <w:highlight w:val="none"/>
        </w:rPr>
        <w:t>%，绩效指标完成率</w:t>
      </w:r>
      <w:r>
        <w:rPr>
          <w:rFonts w:hint="eastAsia"/>
          <w:color w:val="auto"/>
          <w:sz w:val="32"/>
          <w:highlight w:val="none"/>
          <w:lang w:val="en-US" w:eastAsia="zh-CN"/>
        </w:rPr>
        <w:t>81.6</w:t>
      </w:r>
      <w:r>
        <w:rPr>
          <w:rFonts w:hint="eastAsia"/>
          <w:color w:val="auto"/>
          <w:sz w:val="32"/>
          <w:highlight w:val="none"/>
        </w:rPr>
        <w:t>%，偏差率</w:t>
      </w:r>
      <w:r>
        <w:rPr>
          <w:rFonts w:hint="eastAsia"/>
          <w:color w:val="auto"/>
          <w:sz w:val="32"/>
          <w:highlight w:val="none"/>
          <w:lang w:val="en-US" w:eastAsia="zh-CN"/>
        </w:rPr>
        <w:t>36</w:t>
      </w:r>
      <w:r>
        <w:rPr>
          <w:rFonts w:hint="eastAsia"/>
          <w:color w:val="auto"/>
          <w:sz w:val="32"/>
          <w:highlight w:val="none"/>
        </w:rPr>
        <w:t>%。偏差原因：项目部分支出资料及手续不完整，导致指标未能完成。</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r>
        <w:rPr>
          <w:rFonts w:hint="eastAsia" w:ascii="仿宋_GB2312" w:hAnsi="仿宋" w:eastAsia="仿宋_GB2312" w:cs="宋体"/>
          <w:b w:val="0"/>
          <w:color w:val="auto"/>
          <w:kern w:val="2"/>
          <w:highlight w:val="none"/>
          <w:lang w:val="en-US" w:eastAsia="zh-CN"/>
        </w:rPr>
        <w:t>,</w:t>
      </w:r>
      <w:bookmarkStart w:id="0" w:name="_GoBack"/>
      <w:bookmarkEnd w:id="0"/>
      <w:r>
        <w:rPr>
          <w:rFonts w:hint="eastAsia" w:ascii="仿宋_GB2312" w:hAnsi="仿宋" w:eastAsia="仿宋_GB2312" w:cs="宋体"/>
          <w:b w:val="0"/>
          <w:color w:val="auto"/>
          <w:kern w:val="2"/>
          <w:highlight w:val="none"/>
        </w:rPr>
        <w:t>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CD84"/>
    <w:multiLevelType w:val="multilevel"/>
    <w:tmpl w:val="68CBCD84"/>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CD8F"/>
    <w:multiLevelType w:val="singleLevel"/>
    <w:tmpl w:val="68CBCD8F"/>
    <w:lvl w:ilvl="0" w:tentative="0">
      <w:start w:val="3"/>
      <w:numFmt w:val="decimal"/>
      <w:suff w:val="nothing"/>
      <w:lvlText w:val="%1．"/>
      <w:lvlJc w:val="left"/>
      <w:rPr>
        <w:rFonts w:hint="default"/>
        <w:b/>
        <w:bCs/>
        <w:color w:val="auto"/>
      </w:rPr>
    </w:lvl>
  </w:abstractNum>
  <w:abstractNum w:abstractNumId="2">
    <w:nsid w:val="68CBCD9A"/>
    <w:multiLevelType w:val="singleLevel"/>
    <w:tmpl w:val="68CBCD9A"/>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E85087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7F6F3070001F410B86C132560B130856_13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42e0a0-c58d-477e-9ca1-f31be9ae4dc8}">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32</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2025-09-18T09:15:15Z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7F6F3070001F410B86C132560B130856_13</vt:lpwstr>
  </property>
  <property fmtid="{D5CDD505-2E9C-101B-9397-08002B2CF9AE}" pid="4" name="KSOTemplateDocerSaveRecord">
    <vt:lpwstr>eyJoZGlkIjoiYzZkNzQ4ZWFiZmQ4NTRhOWRkZTk3YTMwMjlmMmZhYmUiLCJ1c2VySWQiOiI1NzgxMjU4NDIifQ_x003D__x003D_</vt:lpwstr>
  </property>
</Properties>
</file>