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Pr>
        <w:spacing w:line="560" w:lineRule="exact"/>
        <w:jc w:val="center"/>
        <w:rPr>
          <w:rFonts w:hint="eastAsia" w:ascii="仿宋_GB2312" w:hAnsi="仿宋_GB2312" w:cs="仿宋_GB2312"/>
          <w:b/>
          <w:bCs/>
          <w:color w:val="auto"/>
          <w:kern w:val="0"/>
          <w:sz w:val="44"/>
          <w:szCs w:val="44"/>
          <w:highlight w:val="none"/>
        </w:rPr>
      </w:pPr>
    </w:p>
    <w:p>
      <w:pPr>
        <w:spacing w:line="560" w:lineRule="exact"/>
        <w:jc w:val="center"/>
        <w:rPr>
          <w:rFonts w:hint="eastAsia" w:ascii="仿宋_GB2312" w:hAnsi="仿宋_GB2312" w:cs="仿宋_GB2312"/>
          <w:b/>
          <w:bCs/>
          <w:color w:val="auto"/>
          <w:kern w:val="0"/>
          <w:sz w:val="44"/>
          <w:szCs w:val="44"/>
          <w:highlight w:val="none"/>
        </w:rPr>
      </w:pPr>
    </w:p>
    <w:p>
      <w:pPr>
        <w:spacing w:line="560" w:lineRule="exact"/>
        <w:jc w:val="center"/>
        <w:rPr>
          <w:rFonts w:hint="eastAsia" w:ascii="方正小标宋_GBK" w:hAnsi="黑体" w:eastAsia="方正小标宋_GBK" w:cs="仿宋_GB2312"/>
          <w:bCs/>
          <w:color w:val="auto"/>
          <w:kern w:val="0"/>
          <w:sz w:val="44"/>
          <w:szCs w:val="44"/>
          <w:highlight w:val="none"/>
        </w:rPr>
      </w:pPr>
      <w:r>
        <w:rPr>
          <w:rFonts w:hint="eastAsia" w:ascii="方正小标宋_GBK" w:hAnsi="黑体" w:eastAsia="方正小标宋_GBK" w:cs="仿宋_GB2312"/>
          <w:bCs/>
          <w:color w:val="auto"/>
          <w:kern w:val="0"/>
          <w:sz w:val="44"/>
          <w:szCs w:val="44"/>
          <w:highlight w:val="none"/>
          <w:lang w:eastAsia="zh-CN"/>
        </w:rPr>
        <w:t>2024年新疆西藏等地区教育特殊补助资金项目（园舍维修资金）</w:t>
      </w:r>
      <w:r>
        <w:rPr>
          <w:rFonts w:hint="eastAsia" w:ascii="方正小标宋_GBK" w:hAnsi="黑体" w:eastAsia="方正小标宋_GBK" w:cs="仿宋_GB2312"/>
          <w:bCs/>
          <w:color w:val="auto"/>
          <w:kern w:val="0"/>
          <w:sz w:val="44"/>
          <w:szCs w:val="44"/>
          <w:highlight w:val="none"/>
        </w:rPr>
        <w:t>支出绩效评价报告</w:t>
      </w:r>
    </w:p>
    <w:p>
      <w:pPr>
        <w:spacing w:line="560" w:lineRule="exact"/>
        <w:jc w:val="center"/>
        <w:rPr>
          <w:rFonts w:hint="eastAsia" w:ascii="方正小标宋_GBK" w:hAnsi="黑体" w:eastAsia="方正小标宋_GBK" w:cs="仿宋_GB2312"/>
          <w:color w:val="auto"/>
          <w:kern w:val="0"/>
          <w:sz w:val="44"/>
          <w:szCs w:val="44"/>
          <w:highlight w:val="none"/>
        </w:rPr>
      </w:pPr>
    </w:p>
    <w:p>
      <w:pPr>
        <w:spacing w:line="560" w:lineRule="exact"/>
        <w:jc w:val="center"/>
        <w:rPr>
          <w:rFonts w:hint="eastAsia" w:ascii="方正小标宋_GBK" w:hAnsi="黑体" w:eastAsia="方正小标宋_GBK" w:cs="仿宋_GB2312"/>
          <w:bCs/>
          <w:color w:val="auto"/>
          <w:sz w:val="44"/>
          <w:szCs w:val="44"/>
          <w:highlight w:val="none"/>
        </w:rPr>
      </w:pPr>
      <w:r>
        <w:rPr>
          <w:rFonts w:hint="eastAsia" w:ascii="方正小标宋_GBK" w:hAnsi="黑体" w:eastAsia="方正小标宋_GBK" w:cs="仿宋_GB2312"/>
          <w:bCs/>
          <w:color w:val="auto"/>
          <w:sz w:val="44"/>
          <w:szCs w:val="44"/>
          <w:highlight w:val="none"/>
        </w:rPr>
        <w:t>（</w:t>
      </w:r>
      <w:r>
        <w:rPr>
          <w:rFonts w:hint="eastAsia" w:ascii="方正小标宋_GBK" w:hAnsi="黑体" w:eastAsia="方正小标宋_GBK" w:cs="仿宋_GB2312"/>
          <w:bCs/>
          <w:color w:val="auto"/>
          <w:sz w:val="44"/>
          <w:szCs w:val="44"/>
          <w:highlight w:val="none"/>
          <w:lang w:eastAsia="zh-CN"/>
        </w:rPr>
        <w:t>202</w:t>
      </w:r>
      <w:r>
        <w:rPr>
          <w:rFonts w:hint="eastAsia" w:ascii="方正小标宋_GBK" w:hAnsi="黑体" w:eastAsia="方正小标宋_GBK" w:cs="仿宋_GB2312"/>
          <w:bCs/>
          <w:color w:val="auto"/>
          <w:sz w:val="44"/>
          <w:szCs w:val="44"/>
          <w:highlight w:val="none"/>
          <w:lang w:val="en-US" w:eastAsia="zh-CN"/>
        </w:rPr>
        <w:t>4</w:t>
      </w:r>
      <w:r>
        <w:rPr>
          <w:rFonts w:hint="eastAsia" w:ascii="方正小标宋_GBK" w:hAnsi="黑体" w:eastAsia="方正小标宋_GBK" w:cs="仿宋_GB2312"/>
          <w:bCs/>
          <w:color w:val="auto"/>
          <w:sz w:val="44"/>
          <w:szCs w:val="44"/>
          <w:highlight w:val="none"/>
        </w:rPr>
        <w:t>年度）</w:t>
      </w:r>
    </w:p>
    <w:p>
      <w:pPr>
        <w:spacing w:line="560" w:lineRule="exact"/>
        <w:jc w:val="center"/>
        <w:rPr>
          <w:rFonts w:hint="eastAsia" w:ascii="仿宋_GB2312" w:hAnsi="仿宋_GB2312" w:cs="仿宋_GB2312"/>
          <w:b/>
          <w:color w:val="auto"/>
          <w:kern w:val="0"/>
          <w:sz w:val="50"/>
          <w:szCs w:val="50"/>
          <w:highlight w:val="none"/>
          <w:lang w:bidi="en-US"/>
        </w:rPr>
      </w:pPr>
    </w:p>
    <w:p>
      <w:pPr>
        <w:spacing w:line="560" w:lineRule="exact"/>
        <w:jc w:val="center"/>
        <w:rPr>
          <w:rFonts w:hint="eastAsia" w:ascii="仿宋_GB2312" w:hAnsi="仿宋_GB2312" w:cs="仿宋_GB2312"/>
          <w:b/>
          <w:color w:val="auto"/>
          <w:kern w:val="0"/>
          <w:sz w:val="50"/>
          <w:szCs w:val="50"/>
          <w:highlight w:val="none"/>
          <w:lang w:bidi="en-US"/>
        </w:rPr>
      </w:pPr>
    </w:p>
    <w:p>
      <w:pPr>
        <w:spacing w:line="560" w:lineRule="exact"/>
        <w:jc w:val="center"/>
        <w:rPr>
          <w:rFonts w:hint="eastAsia" w:ascii="仿宋_GB2312" w:hAnsi="仿宋_GB2312" w:cs="仿宋_GB2312"/>
          <w:b/>
          <w:color w:val="auto"/>
          <w:kern w:val="0"/>
          <w:sz w:val="50"/>
          <w:szCs w:val="50"/>
          <w:highlight w:val="none"/>
          <w:lang w:bidi="en-US"/>
        </w:rPr>
      </w:pPr>
    </w:p>
    <w:p>
      <w:pPr>
        <w:spacing w:line="560" w:lineRule="exact"/>
        <w:jc w:val="center"/>
        <w:rPr>
          <w:rFonts w:hint="eastAsia" w:ascii="仿宋_GB2312" w:hAnsi="仿宋_GB2312" w:cs="仿宋_GB2312"/>
          <w:b/>
          <w:color w:val="auto"/>
          <w:kern w:val="0"/>
          <w:sz w:val="50"/>
          <w:szCs w:val="50"/>
          <w:highlight w:val="none"/>
          <w:lang w:bidi="en-US"/>
        </w:rPr>
      </w:pPr>
    </w:p>
    <w:p>
      <w:pPr>
        <w:spacing w:line="560" w:lineRule="exact"/>
        <w:jc w:val="center"/>
        <w:rPr>
          <w:rFonts w:hint="eastAsia" w:ascii="仿宋_GB2312" w:hAnsi="仿宋_GB2312" w:cs="仿宋_GB2312"/>
          <w:b/>
          <w:color w:val="auto"/>
          <w:kern w:val="0"/>
          <w:sz w:val="50"/>
          <w:szCs w:val="50"/>
          <w:highlight w:val="none"/>
          <w:lang w:bidi="en-US"/>
        </w:rPr>
      </w:pPr>
    </w:p>
    <w:p>
      <w:pPr>
        <w:spacing w:line="560" w:lineRule="exact"/>
        <w:jc w:val="center"/>
        <w:rPr>
          <w:rFonts w:hint="eastAsia" w:ascii="仿宋_GB2312" w:hAnsi="仿宋_GB2312" w:cs="仿宋_GB2312"/>
          <w:b/>
          <w:color w:val="auto"/>
          <w:kern w:val="0"/>
          <w:sz w:val="50"/>
          <w:szCs w:val="50"/>
          <w:highlight w:val="none"/>
          <w:lang w:bidi="en-US"/>
        </w:rPr>
      </w:pPr>
    </w:p>
    <w:p>
      <w:pPr>
        <w:spacing w:line="560" w:lineRule="exact"/>
        <w:rPr>
          <w:rFonts w:hint="eastAsia" w:ascii="黑体" w:hAnsi="黑体" w:eastAsia="黑体" w:cs="仿宋_GB2312"/>
          <w:color w:val="auto"/>
          <w:kern w:val="0"/>
          <w:sz w:val="32"/>
          <w:szCs w:val="32"/>
          <w:highlight w:val="none"/>
          <w:lang w:eastAsia="zh-CN"/>
        </w:rPr>
      </w:pPr>
      <w:r>
        <w:rPr>
          <w:rFonts w:hint="eastAsia" w:ascii="黑体" w:hAnsi="黑体" w:eastAsia="黑体" w:cs="仿宋_GB2312"/>
          <w:color w:val="auto"/>
          <w:kern w:val="0"/>
          <w:sz w:val="32"/>
          <w:szCs w:val="32"/>
          <w:highlight w:val="none"/>
        </w:rPr>
        <w:t>项目名称：</w:t>
      </w:r>
      <w:r>
        <w:rPr>
          <w:rFonts w:hint="eastAsia" w:ascii="黑体" w:hAnsi="黑体" w:eastAsia="黑体" w:cs="仿宋_GB2312"/>
          <w:color w:val="auto"/>
          <w:kern w:val="0"/>
          <w:sz w:val="32"/>
          <w:szCs w:val="32"/>
          <w:highlight w:val="none"/>
          <w:lang w:eastAsia="zh-CN"/>
        </w:rPr>
        <w:t>2024年新疆西藏等地区教育特殊补助资金项目（园舍维修资金）</w:t>
      </w:r>
    </w:p>
    <w:p>
      <w:pPr>
        <w:spacing w:line="560" w:lineRule="exact"/>
        <w:rPr>
          <w:rFonts w:hint="eastAsia" w:ascii="黑体" w:hAnsi="黑体" w:eastAsia="黑体" w:cs="仿宋_GB2312"/>
          <w:color w:val="auto"/>
          <w:kern w:val="0"/>
          <w:sz w:val="32"/>
          <w:szCs w:val="32"/>
          <w:highlight w:val="none"/>
        </w:rPr>
      </w:pPr>
    </w:p>
    <w:p>
      <w:pPr>
        <w:spacing w:line="560" w:lineRule="exact"/>
        <w:rPr>
          <w:rFonts w:hint="eastAsia" w:ascii="黑体" w:hAnsi="黑体" w:eastAsia="黑体" w:cs="仿宋_GB2312"/>
          <w:color w:val="auto"/>
          <w:kern w:val="0"/>
          <w:sz w:val="32"/>
          <w:szCs w:val="32"/>
          <w:highlight w:val="none"/>
          <w:lang w:eastAsia="zh-CN"/>
        </w:rPr>
      </w:pPr>
      <w:r>
        <w:rPr>
          <w:rFonts w:hint="eastAsia" w:ascii="黑体" w:hAnsi="黑体" w:eastAsia="黑体" w:cs="仿宋_GB2312"/>
          <w:color w:val="auto"/>
          <w:kern w:val="0"/>
          <w:sz w:val="32"/>
          <w:szCs w:val="32"/>
          <w:highlight w:val="none"/>
        </w:rPr>
        <w:t>项目单位：</w:t>
      </w:r>
      <w:r>
        <w:rPr>
          <w:rFonts w:hint="eastAsia" w:ascii="黑体" w:hAnsi="黑体" w:eastAsia="黑体" w:cs="仿宋_GB2312"/>
          <w:color w:val="auto"/>
          <w:kern w:val="0"/>
          <w:sz w:val="32"/>
          <w:szCs w:val="32"/>
          <w:highlight w:val="none"/>
          <w:lang w:eastAsia="zh-CN"/>
        </w:rPr>
        <w:t>阿图什市教育局</w:t>
      </w:r>
    </w:p>
    <w:p>
      <w:pPr>
        <w:spacing w:line="560" w:lineRule="exact"/>
        <w:rPr>
          <w:rFonts w:hint="eastAsia" w:ascii="黑体" w:hAnsi="黑体" w:eastAsia="黑体" w:cs="仿宋_GB2312"/>
          <w:color w:val="auto"/>
          <w:kern w:val="0"/>
          <w:sz w:val="32"/>
          <w:szCs w:val="32"/>
          <w:highlight w:val="none"/>
        </w:rPr>
      </w:pPr>
    </w:p>
    <w:p>
      <w:pPr>
        <w:spacing w:line="560" w:lineRule="exact"/>
        <w:rPr>
          <w:rFonts w:hint="eastAsia" w:ascii="黑体" w:hAnsi="黑体" w:eastAsia="黑体" w:cs="仿宋_GB2312"/>
          <w:color w:val="auto"/>
          <w:kern w:val="0"/>
          <w:sz w:val="32"/>
          <w:szCs w:val="32"/>
          <w:highlight w:val="none"/>
          <w:lang w:eastAsia="zh-CN"/>
        </w:rPr>
      </w:pPr>
      <w:r>
        <w:rPr>
          <w:rFonts w:hint="eastAsia" w:ascii="黑体" w:hAnsi="黑体" w:eastAsia="黑体" w:cs="仿宋_GB2312"/>
          <w:color w:val="auto"/>
          <w:kern w:val="0"/>
          <w:sz w:val="32"/>
          <w:szCs w:val="32"/>
          <w:highlight w:val="none"/>
        </w:rPr>
        <w:t>主管部门：</w:t>
      </w:r>
      <w:r>
        <w:rPr>
          <w:rFonts w:hint="eastAsia" w:ascii="黑体" w:hAnsi="黑体" w:eastAsia="黑体" w:cs="仿宋_GB2312"/>
          <w:color w:val="auto"/>
          <w:kern w:val="0"/>
          <w:sz w:val="32"/>
          <w:szCs w:val="32"/>
          <w:highlight w:val="none"/>
          <w:lang w:eastAsia="zh-CN"/>
        </w:rPr>
        <w:t>阿图什市教育局</w:t>
      </w:r>
    </w:p>
    <w:p>
      <w:pPr>
        <w:spacing w:line="560" w:lineRule="exact"/>
        <w:rPr>
          <w:rFonts w:hint="eastAsia" w:ascii="黑体" w:hAnsi="黑体" w:eastAsia="黑体" w:cs="仿宋_GB2312"/>
          <w:color w:val="auto"/>
          <w:kern w:val="0"/>
          <w:sz w:val="32"/>
          <w:szCs w:val="32"/>
          <w:highlight w:val="none"/>
        </w:rPr>
      </w:pPr>
    </w:p>
    <w:p>
      <w:pPr>
        <w:spacing w:line="560" w:lineRule="exact"/>
        <w:rPr>
          <w:rFonts w:hint="eastAsia" w:ascii="黑体" w:hAnsi="黑体" w:eastAsia="黑体" w:cs="仿宋_GB2312"/>
          <w:color w:val="auto"/>
          <w:kern w:val="0"/>
          <w:sz w:val="32"/>
          <w:szCs w:val="32"/>
          <w:highlight w:val="none"/>
        </w:rPr>
      </w:pPr>
    </w:p>
    <w:p>
      <w:pPr>
        <w:spacing w:line="560" w:lineRule="exact"/>
        <w:jc w:val="center"/>
        <w:rPr>
          <w:rFonts w:hint="eastAsia" w:ascii="黑体" w:hAnsi="黑体" w:eastAsia="黑体" w:cs="仿宋_GB2312"/>
          <w:color w:val="auto"/>
          <w:sz w:val="32"/>
          <w:szCs w:val="32"/>
          <w:highlight w:val="none"/>
        </w:rPr>
      </w:pPr>
      <w:r>
        <w:rPr>
          <w:rFonts w:hint="eastAsia" w:ascii="黑体" w:hAnsi="黑体" w:eastAsia="黑体" w:cs="仿宋_GB2312"/>
          <w:color w:val="auto"/>
          <w:sz w:val="32"/>
          <w:szCs w:val="32"/>
          <w:highlight w:val="none"/>
          <w:lang w:eastAsia="zh-CN"/>
        </w:rPr>
        <w:t>202</w:t>
      </w:r>
      <w:r>
        <w:rPr>
          <w:rFonts w:hint="eastAsia" w:ascii="黑体" w:hAnsi="黑体" w:eastAsia="黑体" w:cs="仿宋_GB2312"/>
          <w:color w:val="auto"/>
          <w:sz w:val="32"/>
          <w:szCs w:val="32"/>
          <w:highlight w:val="none"/>
          <w:lang w:val="en-US" w:eastAsia="zh-CN"/>
        </w:rPr>
        <w:t>5</w:t>
      </w:r>
      <w:r>
        <w:rPr>
          <w:rFonts w:hint="eastAsia" w:ascii="黑体" w:hAnsi="黑体" w:eastAsia="黑体" w:cs="仿宋_GB2312"/>
          <w:color w:val="auto"/>
          <w:sz w:val="32"/>
          <w:szCs w:val="32"/>
          <w:highlight w:val="none"/>
        </w:rPr>
        <w:t>年</w:t>
      </w:r>
      <w:r>
        <w:rPr>
          <w:rFonts w:hint="eastAsia" w:ascii="黑体" w:hAnsi="黑体" w:eastAsia="黑体" w:cs="仿宋_GB2312"/>
          <w:color w:val="auto"/>
          <w:sz w:val="32"/>
          <w:szCs w:val="32"/>
          <w:highlight w:val="none"/>
          <w:lang w:val="en-US" w:eastAsia="zh-CN"/>
        </w:rPr>
        <w:t>4</w:t>
      </w:r>
      <w:r>
        <w:rPr>
          <w:rFonts w:hint="eastAsia" w:ascii="黑体" w:hAnsi="黑体" w:eastAsia="黑体" w:cs="仿宋_GB2312"/>
          <w:color w:val="auto"/>
          <w:sz w:val="32"/>
          <w:szCs w:val="32"/>
          <w:highlight w:val="none"/>
        </w:rPr>
        <w:t>月</w:t>
      </w:r>
      <w:r>
        <w:rPr>
          <w:rFonts w:hint="eastAsia" w:ascii="黑体" w:hAnsi="黑体" w:eastAsia="黑体" w:cs="仿宋_GB2312"/>
          <w:color w:val="auto"/>
          <w:sz w:val="32"/>
          <w:szCs w:val="32"/>
          <w:highlight w:val="none"/>
          <w:lang w:val="en-US" w:eastAsia="zh-CN"/>
        </w:rPr>
        <w:t>10</w:t>
      </w:r>
      <w:r>
        <w:rPr>
          <w:rFonts w:hint="eastAsia" w:ascii="黑体" w:hAnsi="黑体" w:eastAsia="黑体" w:cs="仿宋_GB2312"/>
          <w:color w:val="auto"/>
          <w:sz w:val="32"/>
          <w:szCs w:val="32"/>
          <w:highlight w:val="none"/>
        </w:rPr>
        <w:t>日</w:t>
      </w:r>
    </w:p>
    <w:p>
      <w:pPr>
        <w:spacing w:line="560" w:lineRule="exact"/>
        <w:rPr>
          <w:rFonts w:hint="eastAsia" w:ascii="仿宋_GB2312" w:hAnsi="仿宋_GB2312" w:cs="仿宋_GB2312"/>
          <w:color w:val="auto"/>
          <w:szCs w:val="30"/>
          <w:highlight w:val="none"/>
        </w:rPr>
      </w:pPr>
    </w:p>
    <w:p>
      <w:pPr>
        <w:spacing w:line="560" w:lineRule="exact"/>
        <w:rPr>
          <w:rFonts w:hint="eastAsia" w:ascii="仿宋_GB2312" w:hAnsi="仿宋_GB2312" w:cs="仿宋_GB2312"/>
          <w:color w:val="auto"/>
          <w:szCs w:val="30"/>
          <w:highlight w:val="none"/>
        </w:rPr>
      </w:pPr>
    </w:p>
    <w:p>
      <w:pPr>
        <w:spacing w:line="560" w:lineRule="exact"/>
        <w:rPr>
          <w:rFonts w:hint="eastAsia" w:ascii="仿宋_GB2312" w:hAnsi="仿宋_GB2312" w:cs="仿宋_GB2312"/>
          <w:color w:val="auto"/>
          <w:szCs w:val="30"/>
          <w:highlight w:val="none"/>
        </w:rPr>
      </w:pPr>
    </w:p>
    <w:p>
      <w:pPr>
        <w:spacing w:line="560" w:lineRule="exact"/>
        <w:rPr>
          <w:rFonts w:hint="eastAsia" w:ascii="仿宋_GB2312" w:hAnsi="仿宋_GB2312" w:cs="仿宋_GB2312"/>
          <w:color w:val="auto"/>
          <w:szCs w:val="30"/>
          <w:highlight w:val="none"/>
        </w:rPr>
      </w:pPr>
    </w:p>
    <w:p>
      <w:pPr>
        <w:snapToGrid w:val="0"/>
        <w:spacing w:line="560" w:lineRule="exact"/>
        <w:jc w:val="center"/>
        <w:rPr>
          <w:rFonts w:hint="eastAsia" w:ascii="方正小标宋_GBK" w:hAnsi="仿宋_GB2312" w:eastAsia="方正小标宋_GBK" w:cs="仿宋_GB2312"/>
          <w:bCs/>
          <w:color w:val="auto"/>
          <w:sz w:val="44"/>
          <w:szCs w:val="44"/>
          <w:highlight w:val="none"/>
        </w:rPr>
      </w:pPr>
      <w:r>
        <w:rPr>
          <w:rFonts w:hint="eastAsia" w:ascii="方正小标宋_GBK" w:hAnsi="仿宋_GB2312" w:eastAsia="方正小标宋_GBK" w:cs="仿宋_GB2312"/>
          <w:bCs/>
          <w:color w:val="auto"/>
          <w:sz w:val="44"/>
          <w:szCs w:val="44"/>
          <w:highlight w:val="none"/>
          <w:lang w:eastAsia="zh-CN"/>
        </w:rPr>
        <w:t>2024年新疆西藏等地区教育特殊补助资金项目（园舍维修资金）</w:t>
      </w:r>
      <w:r>
        <w:rPr>
          <w:rFonts w:hint="eastAsia" w:ascii="方正小标宋_GBK" w:hAnsi="仿宋_GB2312" w:eastAsia="方正小标宋_GBK" w:cs="仿宋_GB2312"/>
          <w:bCs/>
          <w:color w:val="auto"/>
          <w:sz w:val="44"/>
          <w:szCs w:val="44"/>
          <w:highlight w:val="none"/>
        </w:rPr>
        <w:t>支出绩效评价报告</w:t>
      </w:r>
    </w:p>
    <w:p>
      <w:pPr>
        <w:snapToGrid w:val="0"/>
        <w:spacing w:line="560" w:lineRule="exact"/>
        <w:jc w:val="center"/>
        <w:rPr>
          <w:rFonts w:hint="eastAsia" w:ascii="仿宋_GB2312" w:hAnsi="仿宋_GB2312" w:cs="仿宋_GB2312"/>
          <w:color w:val="auto"/>
          <w:szCs w:val="30"/>
          <w:highlight w:val="none"/>
        </w:rPr>
      </w:pPr>
    </w:p>
    <w:p>
      <w:pPr>
        <w:snapToGrid w:val="0"/>
        <w:spacing w:line="560" w:lineRule="exact"/>
        <w:ind w:firstLine="640" w:firstLineChars="200"/>
        <w:rPr>
          <w:rFonts w:hint="eastAsia" w:ascii="黑体" w:hAnsi="黑体" w:eastAsia="黑体" w:cs="仿宋_GB2312"/>
          <w:bCs/>
          <w:color w:val="auto"/>
          <w:sz w:val="32"/>
          <w:szCs w:val="32"/>
          <w:highlight w:val="none"/>
        </w:rPr>
      </w:pPr>
      <w:r>
        <w:rPr>
          <w:rFonts w:hint="eastAsia" w:ascii="黑体" w:hAnsi="黑体" w:eastAsia="黑体" w:cs="仿宋_GB2312"/>
          <w:bCs/>
          <w:color w:val="auto"/>
          <w:sz w:val="32"/>
          <w:szCs w:val="32"/>
          <w:highlight w:val="none"/>
        </w:rPr>
        <w:t>一、基本情况</w:t>
      </w:r>
    </w:p>
    <w:p>
      <w:pPr>
        <w:snapToGrid w:val="0"/>
        <w:spacing w:line="560" w:lineRule="exact"/>
        <w:ind w:firstLine="643" w:firstLineChars="200"/>
        <w:outlineLvl w:val="0"/>
        <w:rPr>
          <w:rFonts w:hint="eastAsia" w:ascii="楷体" w:hAnsi="楷体" w:eastAsia="楷体" w:cs="仿宋_GB2312"/>
          <w:b/>
          <w:bCs w:val="0"/>
          <w:color w:val="auto"/>
          <w:sz w:val="32"/>
          <w:szCs w:val="32"/>
          <w:highlight w:val="none"/>
        </w:rPr>
      </w:pPr>
      <w:r>
        <w:rPr>
          <w:rFonts w:hint="eastAsia" w:ascii="楷体" w:hAnsi="楷体" w:eastAsia="楷体" w:cs="仿宋_GB2312"/>
          <w:b/>
          <w:bCs w:val="0"/>
          <w:color w:val="auto"/>
          <w:sz w:val="32"/>
          <w:szCs w:val="32"/>
          <w:highlight w:val="none"/>
        </w:rPr>
        <w:t>（一）项目概况</w:t>
      </w:r>
    </w:p>
    <w:p>
      <w:pPr>
        <w:snapToGrid w:val="0"/>
        <w:spacing w:line="560" w:lineRule="exact"/>
        <w:ind w:firstLine="803" w:firstLineChars="250"/>
        <w:outlineLvl w:val="0"/>
        <w:rPr>
          <w:rFonts w:hint="eastAsia" w:ascii="仿宋_GB2312" w:hAnsi="仿宋_GB2312" w:cs="仿宋_GB2312"/>
          <w:b/>
          <w:bCs/>
          <w:color w:val="auto"/>
          <w:sz w:val="32"/>
          <w:szCs w:val="32"/>
          <w:highlight w:val="none"/>
        </w:rPr>
      </w:pPr>
      <w:r>
        <w:rPr>
          <w:rFonts w:hint="eastAsia" w:ascii="仿宋_GB2312" w:hAnsi="仿宋_GB2312" w:cs="仿宋_GB2312"/>
          <w:b/>
          <w:bCs/>
          <w:color w:val="auto"/>
          <w:sz w:val="32"/>
          <w:szCs w:val="32"/>
          <w:highlight w:val="none"/>
        </w:rPr>
        <w:t>1．项目背景</w:t>
      </w:r>
    </w:p>
    <w:p>
      <w:pPr>
        <w:snapToGrid w:val="0"/>
        <w:spacing w:line="560" w:lineRule="exact"/>
        <w:ind w:firstLine="800" w:firstLineChars="250"/>
        <w:outlineLvl w:val="0"/>
        <w:rPr>
          <w:rFonts w:hint="default" w:ascii="仿宋_GB2312" w:hAnsi="仿宋_GB2312" w:eastAsia="仿宋_GB2312" w:cs="仿宋_GB2312"/>
          <w:color w:val="auto"/>
          <w:sz w:val="32"/>
          <w:szCs w:val="32"/>
          <w:highlight w:val="none"/>
          <w:lang w:val="en-US" w:eastAsia="zh-CN"/>
        </w:rPr>
      </w:pPr>
      <w:r>
        <w:rPr>
          <w:rFonts w:hint="eastAsia" w:ascii="仿宋_GB2312" w:hAnsi="仿宋_GB2312" w:cs="仿宋_GB2312"/>
          <w:color w:val="auto"/>
          <w:sz w:val="32"/>
          <w:szCs w:val="32"/>
          <w:highlight w:val="none"/>
        </w:rPr>
        <w:t>本项目根据《关于提前下达2024年新疆西藏等地区教育特殊补助资金的通知》克财教〔2023〕64号政策</w:t>
      </w:r>
      <w:r>
        <w:rPr>
          <w:rFonts w:hint="eastAsia" w:ascii="仿宋_GB2312" w:hAnsi="仿宋_GB2312" w:cs="仿宋_GB2312"/>
          <w:color w:val="auto"/>
          <w:sz w:val="32"/>
          <w:szCs w:val="32"/>
          <w:highlight w:val="none"/>
          <w:lang w:val="en-US" w:eastAsia="zh-CN"/>
        </w:rPr>
        <w:t>实施，根据</w:t>
      </w:r>
      <w:r>
        <w:rPr>
          <w:rFonts w:hint="eastAsia" w:ascii="仿宋_GB2312" w:hAnsi="仿宋_GB2312" w:cs="仿宋_GB2312"/>
          <w:color w:val="auto"/>
          <w:sz w:val="32"/>
          <w:szCs w:val="32"/>
          <w:highlight w:val="none"/>
        </w:rPr>
        <w:t>教育发展的实际需求</w:t>
      </w:r>
      <w:r>
        <w:rPr>
          <w:rFonts w:hint="eastAsia" w:ascii="仿宋_GB2312" w:hAnsi="仿宋_GB2312" w:cs="仿宋_GB2312"/>
          <w:color w:val="auto"/>
          <w:sz w:val="32"/>
          <w:szCs w:val="32"/>
          <w:highlight w:val="none"/>
          <w:lang w:eastAsia="zh-CN"/>
        </w:rPr>
        <w:t>，</w:t>
      </w:r>
      <w:r>
        <w:rPr>
          <w:rFonts w:hint="eastAsia" w:ascii="仿宋_GB2312" w:hAnsi="仿宋_GB2312" w:cs="仿宋_GB2312"/>
          <w:color w:val="auto"/>
          <w:sz w:val="32"/>
          <w:szCs w:val="32"/>
          <w:highlight w:val="none"/>
          <w:lang w:val="en-US" w:eastAsia="zh-CN"/>
        </w:rPr>
        <w:t>教育规模扩大与布局调整，为了优化教育资源配置，进行了学校布局调整，需要进行维修改造，以满足新增学生的入学需求实施本项目，通过对32所农村幼儿园的屋面防水和暖气维修以及粉刷外墙工程进行改造、图书采购。</w:t>
      </w:r>
    </w:p>
    <w:p>
      <w:pPr>
        <w:snapToGrid w:val="0"/>
        <w:spacing w:line="560" w:lineRule="exact"/>
        <w:ind w:firstLine="803" w:firstLineChars="250"/>
        <w:outlineLvl w:val="0"/>
        <w:rPr>
          <w:rFonts w:hint="eastAsia" w:ascii="仿宋_GB2312" w:hAnsi="仿宋_GB2312" w:cs="仿宋_GB2312"/>
          <w:b/>
          <w:bCs/>
          <w:color w:val="auto"/>
          <w:sz w:val="32"/>
          <w:szCs w:val="32"/>
          <w:highlight w:val="none"/>
        </w:rPr>
      </w:pPr>
      <w:r>
        <w:rPr>
          <w:rFonts w:hint="eastAsia" w:ascii="仿宋_GB2312" w:hAnsi="仿宋_GB2312" w:cs="仿宋_GB2312"/>
          <w:b/>
          <w:bCs/>
          <w:color w:val="auto"/>
          <w:sz w:val="32"/>
          <w:szCs w:val="32"/>
          <w:highlight w:val="none"/>
        </w:rPr>
        <w:t>2．主要内容及实施情况</w:t>
      </w:r>
    </w:p>
    <w:p>
      <w:pPr>
        <w:snapToGrid w:val="0"/>
        <w:spacing w:line="560" w:lineRule="exact"/>
        <w:ind w:firstLine="800" w:firstLineChars="250"/>
        <w:outlineLvl w:val="0"/>
        <w:rPr>
          <w:rFonts w:hint="eastAsia" w:ascii="仿宋_GB2312" w:hAnsi="仿宋_GB2312" w:cs="仿宋_GB2312"/>
          <w:color w:val="auto"/>
          <w:sz w:val="32"/>
          <w:szCs w:val="30"/>
          <w:highlight w:val="none"/>
        </w:rPr>
      </w:pPr>
      <w:r>
        <w:rPr>
          <w:rFonts w:hint="eastAsia" w:ascii="仿宋_GB2312" w:hAnsi="仿宋_GB2312" w:cs="仿宋_GB2312"/>
          <w:color w:val="auto"/>
          <w:sz w:val="32"/>
          <w:szCs w:val="30"/>
          <w:highlight w:val="none"/>
        </w:rPr>
        <w:t>（1）主要内容</w:t>
      </w:r>
    </w:p>
    <w:p>
      <w:pPr>
        <w:snapToGrid w:val="0"/>
        <w:spacing w:line="560" w:lineRule="exact"/>
        <w:ind w:firstLine="800" w:firstLineChars="250"/>
        <w:outlineLvl w:val="0"/>
        <w:rPr>
          <w:rFonts w:ascii="仿宋_GB2312" w:hAnsi="仿宋_GB2312" w:cs="仿宋_GB2312"/>
          <w:color w:val="auto"/>
          <w:sz w:val="32"/>
          <w:szCs w:val="30"/>
          <w:highlight w:val="none"/>
        </w:rPr>
      </w:pPr>
      <w:r>
        <w:rPr>
          <w:rFonts w:hint="eastAsia" w:ascii="仿宋_GB2312" w:hAnsi="仿宋_GB2312" w:cs="仿宋_GB2312"/>
          <w:color w:val="auto"/>
          <w:sz w:val="32"/>
          <w:szCs w:val="30"/>
          <w:highlight w:val="none"/>
        </w:rPr>
        <w:t>项目实施内容：</w:t>
      </w:r>
    </w:p>
    <w:p>
      <w:pPr>
        <w:snapToGrid w:val="0"/>
        <w:spacing w:line="560" w:lineRule="exact"/>
        <w:ind w:firstLine="800" w:firstLineChars="250"/>
        <w:outlineLvl w:val="0"/>
        <w:rPr>
          <w:rFonts w:hint="eastAsia" w:ascii="仿宋_GB2312" w:hAnsi="仿宋_GB2312" w:cs="仿宋_GB2312"/>
          <w:color w:val="auto"/>
          <w:sz w:val="32"/>
          <w:szCs w:val="30"/>
          <w:highlight w:val="none"/>
        </w:rPr>
      </w:pPr>
      <w:r>
        <w:rPr>
          <w:rFonts w:hint="eastAsia" w:ascii="仿宋_GB2312" w:hAnsi="仿宋_GB2312" w:cs="仿宋_GB2312"/>
          <w:color w:val="auto"/>
          <w:sz w:val="32"/>
          <w:szCs w:val="30"/>
          <w:highlight w:val="none"/>
        </w:rPr>
        <w:t>根据《关于提前下达2024年新疆西藏等地区教育特殊补助资金的通知》克财教【2023】64号文件，下达资金279.61万元，计划主要用于屋面防水、暖气维修、粉刷外墙及图书采购，项目涉及学校32所农村幼儿园。</w:t>
      </w:r>
    </w:p>
    <w:p>
      <w:pPr>
        <w:pBdr>
          <w:top w:val="none" w:color="auto" w:sz="0" w:space="0"/>
          <w:left w:val="none" w:color="auto" w:sz="0" w:space="0"/>
          <w:bottom w:val="none" w:color="auto" w:sz="0" w:space="31"/>
          <w:right w:val="none" w:color="auto" w:sz="0" w:space="2"/>
        </w:pBdr>
        <w:autoSpaceDN w:val="0"/>
        <w:adjustRightInd w:val="0"/>
        <w:snapToGrid w:val="0"/>
        <w:spacing w:line="560" w:lineRule="exact"/>
        <w:ind w:firstLine="800" w:firstLineChars="250"/>
        <w:rPr>
          <w:rFonts w:hint="eastAsia" w:ascii="仿宋_GB2312" w:hAnsi="仿宋_GB2312" w:cs="仿宋_GB2312"/>
          <w:bCs/>
          <w:color w:val="auto"/>
          <w:sz w:val="32"/>
          <w:szCs w:val="30"/>
          <w:highlight w:val="none"/>
        </w:rPr>
      </w:pPr>
      <w:r>
        <w:rPr>
          <w:rFonts w:hint="eastAsia" w:ascii="仿宋_GB2312" w:hAnsi="仿宋_GB2312" w:cs="仿宋_GB2312"/>
          <w:bCs/>
          <w:color w:val="auto"/>
          <w:sz w:val="32"/>
          <w:szCs w:val="30"/>
          <w:highlight w:val="none"/>
        </w:rPr>
        <w:t>（2）实施情况：</w:t>
      </w:r>
    </w:p>
    <w:p>
      <w:pPr>
        <w:pBdr>
          <w:top w:val="none" w:color="auto" w:sz="0" w:space="0"/>
          <w:left w:val="none" w:color="auto" w:sz="0" w:space="0"/>
          <w:bottom w:val="none" w:color="auto" w:sz="0" w:space="31"/>
          <w:right w:val="none" w:color="auto" w:sz="0" w:space="2"/>
        </w:pBdr>
        <w:autoSpaceDN w:val="0"/>
        <w:adjustRightInd w:val="0"/>
        <w:snapToGrid w:val="0"/>
        <w:spacing w:line="560" w:lineRule="exact"/>
        <w:ind w:firstLine="800" w:firstLineChars="250"/>
        <w:rPr>
          <w:rFonts w:hint="eastAsia" w:ascii="仿宋_GB2312" w:hAnsi="仿宋_GB2312" w:cs="仿宋_GB2312"/>
          <w:bCs/>
          <w:color w:val="auto"/>
          <w:sz w:val="32"/>
          <w:szCs w:val="30"/>
          <w:highlight w:val="none"/>
        </w:rPr>
      </w:pPr>
      <w:r>
        <w:rPr>
          <w:rFonts w:hint="eastAsia" w:ascii="仿宋_GB2312" w:hAnsi="仿宋_GB2312" w:cs="仿宋_GB2312"/>
          <w:bCs/>
          <w:color w:val="auto"/>
          <w:sz w:val="32"/>
          <w:szCs w:val="30"/>
          <w:highlight w:val="none"/>
        </w:rPr>
        <w:t>实施主体：本项目的主管部门为</w:t>
      </w:r>
      <w:r>
        <w:rPr>
          <w:rFonts w:hint="eastAsia" w:ascii="仿宋_GB2312" w:hAnsi="仿宋_GB2312" w:cs="仿宋_GB2312"/>
          <w:bCs/>
          <w:color w:val="auto"/>
          <w:sz w:val="32"/>
          <w:szCs w:val="30"/>
          <w:highlight w:val="none"/>
          <w:lang w:eastAsia="zh-CN"/>
        </w:rPr>
        <w:t>阿图什市教育局</w:t>
      </w:r>
      <w:r>
        <w:rPr>
          <w:rFonts w:hint="eastAsia" w:ascii="仿宋_GB2312" w:hAnsi="仿宋_GB2312" w:cs="仿宋_GB2312"/>
          <w:bCs/>
          <w:color w:val="auto"/>
          <w:sz w:val="32"/>
          <w:szCs w:val="30"/>
          <w:highlight w:val="none"/>
        </w:rPr>
        <w:t>,实施单位为</w:t>
      </w:r>
      <w:r>
        <w:rPr>
          <w:rFonts w:hint="eastAsia" w:ascii="仿宋_GB2312" w:hAnsi="仿宋_GB2312" w:cs="仿宋_GB2312"/>
          <w:bCs/>
          <w:color w:val="auto"/>
          <w:sz w:val="32"/>
          <w:szCs w:val="30"/>
          <w:highlight w:val="none"/>
          <w:lang w:eastAsia="zh-CN"/>
        </w:rPr>
        <w:t>阿图什市教育局</w:t>
      </w:r>
      <w:r>
        <w:rPr>
          <w:rFonts w:hint="eastAsia" w:ascii="仿宋_GB2312" w:hAnsi="仿宋_GB2312" w:cs="仿宋_GB2312"/>
          <w:bCs/>
          <w:color w:val="auto"/>
          <w:sz w:val="32"/>
          <w:szCs w:val="30"/>
          <w:highlight w:val="none"/>
        </w:rPr>
        <w:t>，主要职责</w:t>
      </w:r>
      <w:r>
        <w:rPr>
          <w:rFonts w:hint="eastAsia" w:ascii="仿宋_GB2312" w:hAnsi="仿宋_GB2312" w:cs="仿宋_GB2312"/>
          <w:bCs/>
          <w:color w:val="auto"/>
          <w:sz w:val="32"/>
          <w:szCs w:val="30"/>
          <w:highlight w:val="none"/>
          <w:lang w:val="en-US" w:eastAsia="zh-CN"/>
        </w:rPr>
        <w:t>:统筹安排维修经费，指导学校合理使用维修资金，对资金的使用情况进行监督和检查，确保资金专款专用，提高资金使用效益，协调相关部门，为学校维修项目提供支持和保障，项目实施过程中严格按照实施方案进行实施并及时进行监督管理，项目实施后进行及时验收及后期管理</w:t>
      </w:r>
      <w:r>
        <w:rPr>
          <w:rFonts w:hint="eastAsia" w:ascii="仿宋_GB2312" w:hAnsi="仿宋_GB2312" w:cs="仿宋_GB2312"/>
          <w:bCs/>
          <w:color w:val="auto"/>
          <w:sz w:val="32"/>
          <w:szCs w:val="30"/>
          <w:highlight w:val="none"/>
        </w:rPr>
        <w:t>。</w:t>
      </w:r>
    </w:p>
    <w:p>
      <w:pPr>
        <w:pBdr>
          <w:top w:val="none" w:color="auto" w:sz="0" w:space="0"/>
          <w:left w:val="none" w:color="auto" w:sz="0" w:space="0"/>
          <w:bottom w:val="none" w:color="auto" w:sz="0" w:space="31"/>
          <w:right w:val="none" w:color="auto" w:sz="0" w:space="2"/>
        </w:pBdr>
        <w:autoSpaceDN w:val="0"/>
        <w:adjustRightInd w:val="0"/>
        <w:snapToGrid w:val="0"/>
        <w:spacing w:line="560" w:lineRule="exact"/>
        <w:ind w:firstLine="800" w:firstLineChars="250"/>
        <w:rPr>
          <w:rFonts w:hint="eastAsia" w:ascii="仿宋_GB2312" w:hAnsi="仿宋_GB2312" w:cs="仿宋_GB2312"/>
          <w:bCs/>
          <w:color w:val="auto"/>
          <w:sz w:val="32"/>
          <w:szCs w:val="30"/>
          <w:highlight w:val="none"/>
        </w:rPr>
      </w:pPr>
      <w:r>
        <w:rPr>
          <w:rFonts w:hint="eastAsia" w:ascii="仿宋_GB2312" w:hAnsi="仿宋_GB2312" w:cs="仿宋_GB2312"/>
          <w:bCs/>
          <w:color w:val="auto"/>
          <w:sz w:val="32"/>
          <w:szCs w:val="30"/>
          <w:highlight w:val="none"/>
        </w:rPr>
        <w:t>实施时间：</w:t>
      </w:r>
      <w:r>
        <w:rPr>
          <w:rFonts w:hint="eastAsia" w:ascii="仿宋_GB2312" w:hAnsi="仿宋_GB2312" w:cs="仿宋_GB2312"/>
          <w:bCs/>
          <w:color w:val="auto"/>
          <w:sz w:val="32"/>
          <w:szCs w:val="30"/>
          <w:highlight w:val="none"/>
          <w:lang w:eastAsia="zh-CN"/>
        </w:rPr>
        <w:t>202</w:t>
      </w:r>
      <w:r>
        <w:rPr>
          <w:rFonts w:hint="eastAsia" w:ascii="仿宋_GB2312" w:hAnsi="仿宋_GB2312" w:cs="仿宋_GB2312"/>
          <w:bCs/>
          <w:color w:val="auto"/>
          <w:sz w:val="32"/>
          <w:szCs w:val="30"/>
          <w:highlight w:val="none"/>
          <w:lang w:val="en-US" w:eastAsia="zh-CN"/>
        </w:rPr>
        <w:t>4</w:t>
      </w:r>
      <w:r>
        <w:rPr>
          <w:rFonts w:hint="eastAsia" w:ascii="仿宋_GB2312" w:hAnsi="仿宋_GB2312" w:cs="仿宋_GB2312"/>
          <w:bCs/>
          <w:color w:val="auto"/>
          <w:sz w:val="32"/>
          <w:szCs w:val="30"/>
          <w:highlight w:val="none"/>
        </w:rPr>
        <w:t>年</w:t>
      </w:r>
      <w:r>
        <w:rPr>
          <w:rFonts w:hint="eastAsia" w:ascii="仿宋_GB2312" w:hAnsi="仿宋_GB2312" w:cs="仿宋_GB2312"/>
          <w:bCs/>
          <w:color w:val="auto"/>
          <w:sz w:val="32"/>
          <w:szCs w:val="30"/>
          <w:highlight w:val="none"/>
          <w:lang w:val="en-US" w:eastAsia="zh-CN"/>
        </w:rPr>
        <w:t>1</w:t>
      </w:r>
      <w:r>
        <w:rPr>
          <w:rFonts w:hint="eastAsia" w:ascii="仿宋_GB2312" w:hAnsi="仿宋_GB2312" w:cs="仿宋_GB2312"/>
          <w:bCs/>
          <w:color w:val="auto"/>
          <w:sz w:val="32"/>
          <w:szCs w:val="30"/>
          <w:highlight w:val="none"/>
        </w:rPr>
        <w:t>月-</w:t>
      </w:r>
      <w:r>
        <w:rPr>
          <w:rFonts w:hint="eastAsia" w:ascii="仿宋_GB2312" w:hAnsi="仿宋_GB2312" w:cs="仿宋_GB2312"/>
          <w:bCs/>
          <w:color w:val="auto"/>
          <w:sz w:val="32"/>
          <w:szCs w:val="30"/>
          <w:highlight w:val="none"/>
          <w:lang w:val="en-US" w:eastAsia="zh-CN"/>
        </w:rPr>
        <w:t>12</w:t>
      </w:r>
      <w:r>
        <w:rPr>
          <w:rFonts w:hint="eastAsia" w:ascii="仿宋_GB2312" w:hAnsi="仿宋_GB2312" w:cs="仿宋_GB2312"/>
          <w:bCs/>
          <w:color w:val="auto"/>
          <w:sz w:val="32"/>
          <w:szCs w:val="30"/>
          <w:highlight w:val="none"/>
        </w:rPr>
        <w:t>月</w:t>
      </w:r>
    </w:p>
    <w:p>
      <w:pPr>
        <w:pBdr>
          <w:top w:val="none" w:color="auto" w:sz="0" w:space="0"/>
          <w:left w:val="none" w:color="auto" w:sz="0" w:space="0"/>
          <w:bottom w:val="none" w:color="auto" w:sz="0" w:space="31"/>
          <w:right w:val="none" w:color="auto" w:sz="0" w:space="2"/>
        </w:pBdr>
        <w:autoSpaceDN w:val="0"/>
        <w:adjustRightInd w:val="0"/>
        <w:snapToGrid w:val="0"/>
        <w:spacing w:line="560" w:lineRule="exact"/>
        <w:ind w:firstLine="800" w:firstLineChars="250"/>
        <w:rPr>
          <w:rFonts w:ascii="仿宋_GB2312" w:hAnsi="仿宋_GB2312" w:cs="仿宋_GB2312"/>
          <w:bCs/>
          <w:color w:val="auto"/>
          <w:sz w:val="32"/>
          <w:szCs w:val="30"/>
          <w:highlight w:val="none"/>
        </w:rPr>
      </w:pPr>
      <w:r>
        <w:rPr>
          <w:rFonts w:hint="eastAsia" w:ascii="仿宋_GB2312" w:hAnsi="仿宋_GB2312" w:cs="仿宋_GB2312"/>
          <w:bCs/>
          <w:color w:val="auto"/>
          <w:sz w:val="32"/>
          <w:szCs w:val="30"/>
          <w:highlight w:val="none"/>
        </w:rPr>
        <w:t>实施结果：</w:t>
      </w:r>
    </w:p>
    <w:p>
      <w:pPr>
        <w:pBdr>
          <w:top w:val="none" w:color="auto" w:sz="0" w:space="0"/>
          <w:left w:val="none" w:color="auto" w:sz="0" w:space="0"/>
          <w:bottom w:val="none" w:color="auto" w:sz="0" w:space="31"/>
          <w:right w:val="none" w:color="auto" w:sz="0" w:space="2"/>
        </w:pBdr>
        <w:autoSpaceDN w:val="0"/>
        <w:adjustRightInd w:val="0"/>
        <w:snapToGrid w:val="0"/>
        <w:spacing w:line="560" w:lineRule="exact"/>
        <w:ind w:firstLine="800" w:firstLineChars="250"/>
        <w:rPr>
          <w:rFonts w:hint="eastAsia" w:ascii="仿宋_GB2312" w:hAnsi="仿宋_GB2312" w:cs="仿宋_GB2312"/>
          <w:bCs/>
          <w:color w:val="auto"/>
          <w:sz w:val="32"/>
          <w:szCs w:val="30"/>
          <w:highlight w:val="none"/>
        </w:rPr>
      </w:pPr>
      <w:r>
        <w:rPr>
          <w:rFonts w:hint="eastAsia" w:ascii="仿宋_GB2312" w:hAnsi="仿宋_GB2312" w:cs="仿宋_GB2312"/>
          <w:bCs/>
          <w:color w:val="auto"/>
          <w:sz w:val="32"/>
          <w:szCs w:val="30"/>
          <w:highlight w:val="none"/>
        </w:rPr>
        <w:t>本项目根据《关于提前下达2024年新疆西藏等地区教育特殊补助资金的通知》克财教〔2023〕64号文件，下达资金279.61万元，共计支出268.17万元，用于屋面防水、暖气维修、粉刷外墙及图书采购，项目涉及学校32所农村幼儿园。</w:t>
      </w:r>
    </w:p>
    <w:p>
      <w:pPr>
        <w:pBdr>
          <w:top w:val="none" w:color="auto" w:sz="0" w:space="0"/>
          <w:left w:val="none" w:color="auto" w:sz="0" w:space="0"/>
          <w:bottom w:val="none" w:color="auto" w:sz="0" w:space="31"/>
          <w:right w:val="none" w:color="auto" w:sz="0" w:space="2"/>
        </w:pBdr>
        <w:autoSpaceDN w:val="0"/>
        <w:adjustRightInd w:val="0"/>
        <w:snapToGrid w:val="0"/>
        <w:spacing w:line="560" w:lineRule="exact"/>
        <w:ind w:firstLine="800" w:firstLineChars="250"/>
        <w:rPr>
          <w:rFonts w:hint="eastAsia" w:ascii="仿宋_GB2312" w:hAnsi="仿宋_GB2312" w:cs="仿宋_GB2312"/>
          <w:bCs/>
          <w:color w:val="auto"/>
          <w:sz w:val="32"/>
          <w:szCs w:val="30"/>
          <w:highlight w:val="none"/>
        </w:rPr>
      </w:pPr>
      <w:r>
        <w:rPr>
          <w:rFonts w:hint="eastAsia" w:ascii="仿宋_GB2312" w:hAnsi="仿宋_GB2312" w:cs="仿宋_GB2312"/>
          <w:bCs/>
          <w:color w:val="auto"/>
          <w:sz w:val="32"/>
          <w:szCs w:val="30"/>
          <w:highlight w:val="none"/>
        </w:rPr>
        <w:t>3．资金投入和使用情况</w:t>
      </w:r>
    </w:p>
    <w:p>
      <w:pPr>
        <w:pBdr>
          <w:top w:val="none" w:color="auto" w:sz="0" w:space="0"/>
          <w:left w:val="none" w:color="auto" w:sz="0" w:space="0"/>
          <w:bottom w:val="none" w:color="auto" w:sz="0" w:space="31"/>
          <w:right w:val="none" w:color="auto" w:sz="0" w:space="2"/>
        </w:pBdr>
        <w:autoSpaceDN w:val="0"/>
        <w:adjustRightInd w:val="0"/>
        <w:snapToGrid w:val="0"/>
        <w:spacing w:line="560" w:lineRule="exact"/>
        <w:ind w:firstLine="780" w:firstLineChars="250"/>
        <w:jc w:val="left"/>
        <w:rPr>
          <w:rStyle w:val="11"/>
          <w:rFonts w:hint="eastAsia" w:ascii="仿宋_GB2312" w:hAnsi="仿宋_GB2312" w:cs="仿宋_GB2312"/>
          <w:b w:val="0"/>
          <w:bCs w:val="0"/>
          <w:color w:val="auto"/>
          <w:spacing w:val="-4"/>
          <w:sz w:val="32"/>
          <w:szCs w:val="30"/>
          <w:highlight w:val="none"/>
        </w:rPr>
      </w:pPr>
      <w:r>
        <w:rPr>
          <w:rStyle w:val="11"/>
          <w:rFonts w:hint="eastAsia" w:ascii="仿宋_GB2312" w:hAnsi="仿宋_GB2312" w:cs="仿宋_GB2312"/>
          <w:b w:val="0"/>
          <w:bCs w:val="0"/>
          <w:color w:val="auto"/>
          <w:spacing w:val="-4"/>
          <w:sz w:val="32"/>
          <w:szCs w:val="30"/>
          <w:highlight w:val="none"/>
        </w:rPr>
        <w:t>资金投入情况：本项目总投资</w:t>
      </w:r>
      <w:r>
        <w:rPr>
          <w:rStyle w:val="11"/>
          <w:rFonts w:hint="eastAsia" w:ascii="仿宋_GB2312" w:hAnsi="仿宋_GB2312" w:cs="仿宋_GB2312"/>
          <w:b w:val="0"/>
          <w:bCs w:val="0"/>
          <w:color w:val="auto"/>
          <w:spacing w:val="-4"/>
          <w:sz w:val="32"/>
          <w:szCs w:val="30"/>
          <w:highlight w:val="none"/>
          <w:lang w:val="en-US" w:eastAsia="zh-CN"/>
        </w:rPr>
        <w:t>279.61万元</w:t>
      </w:r>
      <w:r>
        <w:rPr>
          <w:rStyle w:val="11"/>
          <w:rFonts w:hint="eastAsia" w:ascii="仿宋_GB2312" w:hAnsi="仿宋_GB2312" w:cs="仿宋_GB2312"/>
          <w:b w:val="0"/>
          <w:bCs w:val="0"/>
          <w:color w:val="auto"/>
          <w:spacing w:val="-4"/>
          <w:sz w:val="32"/>
          <w:szCs w:val="30"/>
          <w:highlight w:val="none"/>
        </w:rPr>
        <w:t>，资金来源为中央专项资金。</w:t>
      </w:r>
    </w:p>
    <w:p>
      <w:pPr>
        <w:pBdr>
          <w:top w:val="none" w:color="auto" w:sz="0" w:space="0"/>
          <w:left w:val="none" w:color="auto" w:sz="0" w:space="0"/>
          <w:bottom w:val="none" w:color="auto" w:sz="0" w:space="31"/>
          <w:right w:val="none" w:color="auto" w:sz="0" w:space="2"/>
        </w:pBdr>
        <w:autoSpaceDN w:val="0"/>
        <w:adjustRightInd w:val="0"/>
        <w:snapToGrid w:val="0"/>
        <w:spacing w:line="560" w:lineRule="exact"/>
        <w:ind w:firstLine="780" w:firstLineChars="250"/>
        <w:jc w:val="left"/>
        <w:rPr>
          <w:rStyle w:val="11"/>
          <w:rFonts w:hint="eastAsia" w:ascii="仿宋_GB2312" w:hAnsi="仿宋_GB2312" w:cs="仿宋_GB2312"/>
          <w:b w:val="0"/>
          <w:color w:val="auto"/>
          <w:spacing w:val="-4"/>
          <w:sz w:val="32"/>
          <w:szCs w:val="30"/>
          <w:highlight w:val="none"/>
        </w:rPr>
      </w:pPr>
      <w:r>
        <w:rPr>
          <w:rStyle w:val="11"/>
          <w:rFonts w:hint="eastAsia" w:ascii="仿宋_GB2312" w:hAnsi="仿宋_GB2312" w:cs="仿宋_GB2312"/>
          <w:b w:val="0"/>
          <w:color w:val="auto"/>
          <w:spacing w:val="-4"/>
          <w:sz w:val="32"/>
          <w:szCs w:val="30"/>
          <w:highlight w:val="none"/>
        </w:rPr>
        <w:t>资金使用情况：根据项目实施情况，项目资金实际支付</w:t>
      </w:r>
      <w:r>
        <w:rPr>
          <w:rStyle w:val="11"/>
          <w:rFonts w:hint="eastAsia" w:ascii="仿宋_GB2312" w:hAnsi="仿宋_GB2312" w:cs="仿宋_GB2312"/>
          <w:b w:val="0"/>
          <w:color w:val="auto"/>
          <w:spacing w:val="-4"/>
          <w:sz w:val="32"/>
          <w:szCs w:val="30"/>
          <w:highlight w:val="none"/>
          <w:lang w:eastAsia="zh-CN"/>
        </w:rPr>
        <w:t>268.17万元</w:t>
      </w:r>
      <w:r>
        <w:rPr>
          <w:rStyle w:val="11"/>
          <w:rFonts w:hint="eastAsia" w:ascii="仿宋_GB2312" w:hAnsi="仿宋_GB2312" w:cs="仿宋_GB2312"/>
          <w:b w:val="0"/>
          <w:color w:val="auto"/>
          <w:spacing w:val="-4"/>
          <w:sz w:val="32"/>
          <w:szCs w:val="30"/>
          <w:highlight w:val="none"/>
        </w:rPr>
        <w:t>，资金执行率达到</w:t>
      </w:r>
      <w:r>
        <w:rPr>
          <w:rStyle w:val="11"/>
          <w:rFonts w:hint="eastAsia" w:ascii="仿宋_GB2312" w:hAnsi="仿宋_GB2312" w:cs="仿宋_GB2312"/>
          <w:b w:val="0"/>
          <w:color w:val="auto"/>
          <w:spacing w:val="-4"/>
          <w:sz w:val="32"/>
          <w:szCs w:val="30"/>
          <w:highlight w:val="none"/>
          <w:lang w:val="en-US" w:eastAsia="zh-CN"/>
        </w:rPr>
        <w:t>95.90%</w:t>
      </w:r>
      <w:r>
        <w:rPr>
          <w:rStyle w:val="11"/>
          <w:rFonts w:hint="eastAsia" w:ascii="仿宋_GB2312" w:hAnsi="仿宋_GB2312" w:cs="仿宋_GB2312"/>
          <w:b w:val="0"/>
          <w:color w:val="auto"/>
          <w:spacing w:val="-4"/>
          <w:sz w:val="32"/>
          <w:szCs w:val="30"/>
          <w:highlight w:val="none"/>
        </w:rPr>
        <w:t>。具体使用情况如下：</w:t>
      </w:r>
    </w:p>
    <w:p>
      <w:pPr>
        <w:pBdr>
          <w:top w:val="none" w:color="auto" w:sz="0" w:space="0"/>
          <w:left w:val="none" w:color="auto" w:sz="0" w:space="0"/>
          <w:bottom w:val="none" w:color="auto" w:sz="0" w:space="31"/>
          <w:right w:val="none" w:color="auto" w:sz="0" w:space="2"/>
        </w:pBdr>
        <w:autoSpaceDN w:val="0"/>
        <w:adjustRightInd w:val="0"/>
        <w:snapToGrid w:val="0"/>
        <w:spacing w:line="560" w:lineRule="exact"/>
        <w:ind w:firstLine="780" w:firstLineChars="250"/>
        <w:jc w:val="left"/>
        <w:rPr>
          <w:rStyle w:val="11"/>
          <w:rFonts w:hint="eastAsia" w:ascii="仿宋_GB2312"/>
          <w:b w:val="0"/>
          <w:color w:val="auto"/>
          <w:spacing w:val="-4"/>
          <w:sz w:val="32"/>
          <w:highlight w:val="none"/>
        </w:rPr>
      </w:pPr>
      <w:r>
        <w:rPr>
          <w:rStyle w:val="11"/>
          <w:rFonts w:hint="eastAsia" w:ascii="仿宋_GB2312"/>
          <w:b w:val="0"/>
          <w:color w:val="auto"/>
          <w:spacing w:val="-4"/>
          <w:sz w:val="32"/>
          <w:highlight w:val="none"/>
        </w:rPr>
        <w:t>采购图书及其他娱乐设备成本33.39万元；</w:t>
      </w:r>
    </w:p>
    <w:p>
      <w:pPr>
        <w:pBdr>
          <w:top w:val="none" w:color="auto" w:sz="0" w:space="0"/>
          <w:left w:val="none" w:color="auto" w:sz="0" w:space="0"/>
          <w:bottom w:val="none" w:color="auto" w:sz="0" w:space="31"/>
          <w:right w:val="none" w:color="auto" w:sz="0" w:space="2"/>
        </w:pBdr>
        <w:autoSpaceDN w:val="0"/>
        <w:adjustRightInd w:val="0"/>
        <w:snapToGrid w:val="0"/>
        <w:spacing w:line="560" w:lineRule="exact"/>
        <w:ind w:firstLine="780" w:firstLineChars="250"/>
        <w:jc w:val="left"/>
        <w:rPr>
          <w:rStyle w:val="11"/>
          <w:rFonts w:hint="eastAsia" w:ascii="仿宋_GB2312"/>
          <w:b w:val="0"/>
          <w:color w:val="auto"/>
          <w:spacing w:val="-4"/>
          <w:sz w:val="32"/>
          <w:highlight w:val="none"/>
        </w:rPr>
      </w:pPr>
      <w:r>
        <w:rPr>
          <w:rStyle w:val="11"/>
          <w:rFonts w:hint="eastAsia" w:ascii="仿宋_GB2312"/>
          <w:b w:val="0"/>
          <w:color w:val="auto"/>
          <w:spacing w:val="-4"/>
          <w:sz w:val="32"/>
          <w:highlight w:val="none"/>
        </w:rPr>
        <w:t>工程建设费用234.78万元。</w:t>
      </w:r>
    </w:p>
    <w:p>
      <w:pPr>
        <w:pBdr>
          <w:top w:val="none" w:color="auto" w:sz="0" w:space="0"/>
          <w:left w:val="none" w:color="auto" w:sz="0" w:space="0"/>
          <w:bottom w:val="none" w:color="auto" w:sz="0" w:space="31"/>
          <w:right w:val="none" w:color="auto" w:sz="0" w:space="2"/>
        </w:pBdr>
        <w:autoSpaceDN w:val="0"/>
        <w:adjustRightInd w:val="0"/>
        <w:snapToGrid w:val="0"/>
        <w:spacing w:line="560" w:lineRule="exact"/>
        <w:ind w:firstLine="803" w:firstLineChars="250"/>
        <w:jc w:val="left"/>
        <w:rPr>
          <w:rFonts w:hint="eastAsia" w:ascii="楷体" w:hAnsi="楷体" w:eastAsia="楷体" w:cs="仿宋_GB2312"/>
          <w:b/>
          <w:bCs w:val="0"/>
          <w:color w:val="auto"/>
          <w:sz w:val="32"/>
          <w:szCs w:val="32"/>
          <w:highlight w:val="none"/>
        </w:rPr>
      </w:pPr>
      <w:r>
        <w:rPr>
          <w:rFonts w:hint="eastAsia" w:ascii="楷体" w:hAnsi="楷体" w:eastAsia="楷体" w:cs="仿宋_GB2312"/>
          <w:b/>
          <w:bCs w:val="0"/>
          <w:color w:val="auto"/>
          <w:sz w:val="32"/>
          <w:szCs w:val="32"/>
          <w:highlight w:val="none"/>
        </w:rPr>
        <w:t>（二）项目绩效目标</w:t>
      </w:r>
    </w:p>
    <w:p>
      <w:pPr>
        <w:pBdr>
          <w:top w:val="none" w:color="auto" w:sz="0" w:space="0"/>
          <w:left w:val="none" w:color="auto" w:sz="0" w:space="0"/>
          <w:bottom w:val="none" w:color="auto" w:sz="0" w:space="31"/>
          <w:right w:val="none" w:color="auto" w:sz="0" w:space="2"/>
        </w:pBdr>
        <w:autoSpaceDN w:val="0"/>
        <w:adjustRightInd w:val="0"/>
        <w:snapToGrid w:val="0"/>
        <w:spacing w:line="560" w:lineRule="exact"/>
        <w:ind w:firstLine="640" w:firstLineChars="200"/>
        <w:contextualSpacing/>
        <w:rPr>
          <w:rFonts w:hint="eastAsia" w:ascii="仿宋_GB2312" w:hAnsi="仿宋_GB2312" w:cs="仿宋_GB2312"/>
          <w:color w:val="auto"/>
          <w:sz w:val="32"/>
          <w:highlight w:val="none"/>
        </w:rPr>
      </w:pPr>
      <w:r>
        <w:rPr>
          <w:rFonts w:hint="eastAsia" w:ascii="仿宋_GB2312" w:hAnsi="仿宋_GB2312" w:cs="仿宋_GB2312"/>
          <w:color w:val="auto"/>
          <w:sz w:val="32"/>
          <w:highlight w:val="none"/>
        </w:rPr>
        <w:t>年度总体目标为：根据《关于提前下达2024年新疆西藏等地区教育特殊补助资金的通知》克财教【2023】64号文件，下达资金279.61万元，计划主要用于屋面防水、暖气维修、粉刷外墙及图书采购，项目涉及学校32所农村幼儿园。</w:t>
      </w:r>
    </w:p>
    <w:p>
      <w:pPr>
        <w:pBdr>
          <w:top w:val="none" w:color="auto" w:sz="0" w:space="0"/>
          <w:left w:val="none" w:color="auto" w:sz="0" w:space="0"/>
          <w:bottom w:val="none" w:color="auto" w:sz="0" w:space="31"/>
          <w:right w:val="none" w:color="auto" w:sz="0" w:space="2"/>
        </w:pBdr>
        <w:autoSpaceDN w:val="0"/>
        <w:adjustRightInd w:val="0"/>
        <w:snapToGrid w:val="0"/>
        <w:spacing w:line="560" w:lineRule="exact"/>
        <w:ind w:firstLine="640" w:firstLineChars="200"/>
        <w:contextualSpacing/>
        <w:rPr>
          <w:rFonts w:hint="eastAsia" w:ascii="仿宋_GB2312" w:hAnsi="仿宋" w:cs="宋体"/>
          <w:color w:val="auto"/>
          <w:sz w:val="32"/>
          <w:szCs w:val="32"/>
          <w:highlight w:val="none"/>
        </w:rPr>
      </w:pPr>
      <w:r>
        <w:rPr>
          <w:rFonts w:hint="eastAsia" w:ascii="仿宋_GB2312" w:hAnsi="仿宋_GB2312" w:cs="仿宋_GB2312"/>
          <w:color w:val="auto"/>
          <w:sz w:val="32"/>
          <w:highlight w:val="none"/>
        </w:rPr>
        <w:t>阶段性目标为：根据《关于提前下达2024年新疆西藏等地区教育特殊补助资金的通知》克财教【2023】64号文件，下达资金279.61万元，计划主要用于屋面防水、暖气维修、粉刷外墙及图书采购，项目涉及学校32所农村幼儿园。</w:t>
      </w:r>
    </w:p>
    <w:p>
      <w:pPr>
        <w:keepNext w:val="0"/>
        <w:keepLines w:val="0"/>
        <w:pageBreakBefore w:val="0"/>
        <w:widowControl w:val="0"/>
        <w:pBdr>
          <w:top w:val="none" w:color="auto" w:sz="0" w:space="0"/>
          <w:left w:val="none" w:color="auto" w:sz="0" w:space="0"/>
          <w:bottom w:val="none" w:color="auto" w:sz="0" w:space="31"/>
          <w:right w:val="none" w:color="auto" w:sz="0" w:space="2"/>
        </w:pBdr>
        <w:kinsoku/>
        <w:wordWrap/>
        <w:overflowPunct/>
        <w:topLinePunct w:val="0"/>
        <w:autoSpaceDE/>
        <w:autoSpaceDN w:val="0"/>
        <w:bidi w:val="0"/>
        <w:adjustRightInd w:val="0"/>
        <w:spacing w:line="560" w:lineRule="exact"/>
        <w:ind w:firstLine="640" w:firstLineChars="200"/>
        <w:contextualSpacing/>
        <w:jc w:val="both"/>
        <w:textAlignment w:val="auto"/>
        <w:rPr>
          <w:rFonts w:hint="eastAsia" w:ascii="黑体" w:hAnsi="黑体" w:eastAsia="黑体" w:cs="仿宋_GB2312"/>
          <w:bCs/>
          <w:color w:val="auto"/>
          <w:sz w:val="32"/>
          <w:highlight w:val="none"/>
        </w:rPr>
      </w:pPr>
      <w:r>
        <w:rPr>
          <w:rFonts w:hint="eastAsia" w:ascii="黑体" w:hAnsi="黑体" w:eastAsia="黑体" w:cs="仿宋_GB2312"/>
          <w:bCs/>
          <w:color w:val="auto"/>
          <w:sz w:val="32"/>
          <w:highlight w:val="none"/>
        </w:rPr>
        <w:t>二、绩效评价工作开展情况</w:t>
      </w:r>
    </w:p>
    <w:p>
      <w:pPr>
        <w:keepNext w:val="0"/>
        <w:keepLines w:val="0"/>
        <w:pageBreakBefore w:val="0"/>
        <w:widowControl w:val="0"/>
        <w:pBdr>
          <w:top w:val="none" w:color="auto" w:sz="0" w:space="0"/>
          <w:left w:val="none" w:color="auto" w:sz="0" w:space="0"/>
          <w:bottom w:val="none" w:color="auto" w:sz="0" w:space="31"/>
          <w:right w:val="none" w:color="auto" w:sz="0" w:space="2"/>
        </w:pBdr>
        <w:kinsoku/>
        <w:wordWrap/>
        <w:overflowPunct/>
        <w:topLinePunct w:val="0"/>
        <w:autoSpaceDE/>
        <w:autoSpaceDN w:val="0"/>
        <w:bidi w:val="0"/>
        <w:adjustRightInd w:val="0"/>
        <w:snapToGrid w:val="0"/>
        <w:spacing w:line="560" w:lineRule="exact"/>
        <w:ind w:firstLine="643" w:firstLineChars="200"/>
        <w:jc w:val="both"/>
        <w:textAlignment w:val="auto"/>
        <w:rPr>
          <w:rFonts w:hint="eastAsia" w:ascii="楷体" w:hAnsi="楷体" w:eastAsia="楷体" w:cs="仿宋_GB2312"/>
          <w:b/>
          <w:bCs w:val="0"/>
          <w:color w:val="auto"/>
          <w:sz w:val="32"/>
          <w:szCs w:val="32"/>
          <w:highlight w:val="none"/>
        </w:rPr>
      </w:pPr>
      <w:r>
        <w:rPr>
          <w:rFonts w:hint="eastAsia" w:ascii="楷体" w:hAnsi="楷体" w:eastAsia="楷体" w:cs="仿宋_GB2312"/>
          <w:b/>
          <w:bCs w:val="0"/>
          <w:color w:val="auto"/>
          <w:sz w:val="32"/>
          <w:szCs w:val="32"/>
          <w:highlight w:val="none"/>
        </w:rPr>
        <w:t>（一）绩效评价目的、对象和范围</w:t>
      </w:r>
    </w:p>
    <w:p>
      <w:pPr>
        <w:keepNext w:val="0"/>
        <w:keepLines w:val="0"/>
        <w:pageBreakBefore w:val="0"/>
        <w:widowControl w:val="0"/>
        <w:pBdr>
          <w:top w:val="none" w:color="auto" w:sz="0" w:space="0"/>
          <w:left w:val="none" w:color="auto" w:sz="0" w:space="0"/>
          <w:bottom w:val="none" w:color="auto" w:sz="0" w:space="31"/>
          <w:right w:val="none" w:color="auto" w:sz="0" w:space="2"/>
        </w:pBdr>
        <w:kinsoku/>
        <w:wordWrap/>
        <w:overflowPunct/>
        <w:topLinePunct w:val="0"/>
        <w:autoSpaceDE/>
        <w:autoSpaceDN w:val="0"/>
        <w:bidi w:val="0"/>
        <w:adjustRightInd w:val="0"/>
        <w:spacing w:line="560" w:lineRule="exact"/>
        <w:ind w:firstLine="643" w:firstLineChars="200"/>
        <w:contextualSpacing/>
        <w:jc w:val="both"/>
        <w:textAlignment w:val="auto"/>
        <w:rPr>
          <w:rFonts w:hint="eastAsia" w:ascii="仿宋_GB2312" w:hAnsi="仿宋" w:cs="宋体"/>
          <w:b/>
          <w:color w:val="auto"/>
          <w:sz w:val="32"/>
          <w:szCs w:val="32"/>
          <w:highlight w:val="none"/>
        </w:rPr>
      </w:pPr>
      <w:r>
        <w:rPr>
          <w:rFonts w:hint="eastAsia" w:ascii="仿宋_GB2312" w:hAnsi="仿宋" w:cs="宋体"/>
          <w:b/>
          <w:color w:val="auto"/>
          <w:sz w:val="32"/>
          <w:szCs w:val="32"/>
          <w:highlight w:val="none"/>
        </w:rPr>
        <w:t>1．绩效评价目的</w:t>
      </w:r>
    </w:p>
    <w:p>
      <w:pPr>
        <w:keepNext w:val="0"/>
        <w:keepLines w:val="0"/>
        <w:pageBreakBefore w:val="0"/>
        <w:widowControl w:val="0"/>
        <w:pBdr>
          <w:top w:val="none" w:color="auto" w:sz="0" w:space="0"/>
          <w:left w:val="none" w:color="auto" w:sz="0" w:space="0"/>
          <w:bottom w:val="none" w:color="auto" w:sz="0" w:space="31"/>
          <w:right w:val="none" w:color="auto" w:sz="0" w:space="2"/>
        </w:pBdr>
        <w:kinsoku/>
        <w:wordWrap/>
        <w:overflowPunct/>
        <w:topLinePunct w:val="0"/>
        <w:autoSpaceDE/>
        <w:autoSpaceDN w:val="0"/>
        <w:bidi w:val="0"/>
        <w:adjustRightInd w:val="0"/>
        <w:spacing w:line="560" w:lineRule="exact"/>
        <w:ind w:firstLine="640" w:firstLineChars="200"/>
        <w:contextualSpacing/>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本次绩效评价遵循财政部《项目支出绩效评价管理办法》（财预〔</w:t>
      </w:r>
      <w:r>
        <w:rPr>
          <w:rFonts w:hint="eastAsia" w:ascii="仿宋_GB2312" w:hAnsi="仿宋_GB2312" w:eastAsia="仿宋_GB2312" w:cs="仿宋_GB2312"/>
          <w:color w:val="auto"/>
          <w:sz w:val="32"/>
          <w:szCs w:val="32"/>
          <w:highlight w:val="none"/>
          <w:lang w:eastAsia="zh-CN"/>
        </w:rPr>
        <w:t>202</w:t>
      </w:r>
      <w:r>
        <w:rPr>
          <w:rFonts w:hint="eastAsia" w:ascii="仿宋_GB2312" w:hAnsi="仿宋_GB2312" w:eastAsia="仿宋_GB2312" w:cs="仿宋_GB2312"/>
          <w:color w:val="auto"/>
          <w:sz w:val="32"/>
          <w:szCs w:val="32"/>
          <w:highlight w:val="none"/>
          <w:lang w:val="en-US" w:eastAsia="zh-CN"/>
        </w:rPr>
        <w:t>0</w:t>
      </w:r>
      <w:r>
        <w:rPr>
          <w:rFonts w:hint="eastAsia" w:ascii="仿宋_GB2312" w:hAnsi="仿宋_GB2312" w:eastAsia="仿宋_GB2312" w:cs="仿宋_GB2312"/>
          <w:color w:val="auto"/>
          <w:sz w:val="32"/>
          <w:szCs w:val="32"/>
          <w:highlight w:val="none"/>
        </w:rPr>
        <w:t>〕10号）和自治区财政厅</w:t>
      </w:r>
      <w:r>
        <w:rPr>
          <w:rFonts w:hint="eastAsia" w:ascii="仿宋_GB2312" w:hAnsi="仿宋_GB2312" w:eastAsia="仿宋_GB2312" w:cs="仿宋_GB2312"/>
          <w:color w:val="auto"/>
          <w:kern w:val="0"/>
          <w:sz w:val="32"/>
          <w:szCs w:val="32"/>
          <w:highlight w:val="none"/>
          <w:shd w:val="clear" w:color="auto" w:fill="FFFFFF"/>
        </w:rPr>
        <w:t>《自治区财政支出绩效评价管理暂行办法》（新财预〔2018〕189号）</w:t>
      </w:r>
      <w:r>
        <w:rPr>
          <w:rFonts w:hint="eastAsia" w:ascii="仿宋_GB2312" w:hAnsi="仿宋_GB2312" w:eastAsia="仿宋_GB2312" w:cs="仿宋_GB2312"/>
          <w:color w:val="auto"/>
          <w:sz w:val="32"/>
          <w:szCs w:val="32"/>
          <w:highlight w:val="none"/>
        </w:rPr>
        <w:t>等相关政策文件与规定，</w:t>
      </w:r>
      <w:r>
        <w:rPr>
          <w:rFonts w:hint="eastAsia" w:ascii="仿宋_GB2312" w:hAnsi="仿宋_GB2312" w:eastAsia="仿宋_GB2312" w:cs="仿宋_GB2312"/>
          <w:color w:val="auto"/>
          <w:sz w:val="32"/>
          <w:szCs w:val="32"/>
          <w:highlight w:val="none"/>
          <w:lang w:val="en-US" w:eastAsia="zh-CN"/>
        </w:rPr>
        <w:t>绩效评价</w:t>
      </w:r>
      <w:r>
        <w:rPr>
          <w:rFonts w:hint="eastAsia" w:ascii="仿宋_GB2312" w:hAnsi="仿宋_GB2312" w:eastAsia="仿宋_GB2312" w:cs="仿宋_GB2312"/>
          <w:color w:val="auto"/>
          <w:sz w:val="32"/>
          <w:szCs w:val="32"/>
          <w:highlight w:val="none"/>
        </w:rPr>
        <w:t>旨在评价</w:t>
      </w:r>
      <w:r>
        <w:rPr>
          <w:rFonts w:hint="eastAsia" w:ascii="仿宋_GB2312" w:hAnsi="仿宋_GB2312" w:eastAsia="仿宋_GB2312" w:cs="仿宋_GB2312"/>
          <w:color w:val="auto"/>
          <w:sz w:val="32"/>
          <w:szCs w:val="32"/>
          <w:highlight w:val="none"/>
          <w:lang w:eastAsia="zh-CN"/>
        </w:rPr>
        <w:t>本</w:t>
      </w:r>
      <w:r>
        <w:rPr>
          <w:rFonts w:hint="eastAsia" w:ascii="仿宋_GB2312" w:hAnsi="仿宋_GB2312" w:eastAsia="仿宋_GB2312" w:cs="仿宋_GB2312"/>
          <w:color w:val="auto"/>
          <w:sz w:val="32"/>
          <w:szCs w:val="32"/>
          <w:highlight w:val="none"/>
        </w:rPr>
        <w:t>项目前期审批、实施过程及实施效果，促进预算管理不断完善，加快绩效目标的实现，保证财政资金有效、合理使用，具体绩效评价的目的细分如下：</w:t>
      </w:r>
    </w:p>
    <w:p>
      <w:pPr>
        <w:keepNext w:val="0"/>
        <w:keepLines w:val="0"/>
        <w:pageBreakBefore w:val="0"/>
        <w:widowControl w:val="0"/>
        <w:pBdr>
          <w:top w:val="none" w:color="auto" w:sz="0" w:space="0"/>
          <w:left w:val="none" w:color="auto" w:sz="0" w:space="0"/>
          <w:bottom w:val="none" w:color="auto" w:sz="0" w:space="31"/>
          <w:right w:val="none" w:color="auto" w:sz="0" w:space="2"/>
        </w:pBdr>
        <w:kinsoku/>
        <w:wordWrap/>
        <w:overflowPunct/>
        <w:topLinePunct w:val="0"/>
        <w:autoSpaceDE/>
        <w:autoSpaceDN w:val="0"/>
        <w:bidi w:val="0"/>
        <w:adjustRightInd w:val="0"/>
        <w:spacing w:line="560" w:lineRule="exact"/>
        <w:ind w:firstLine="640" w:firstLineChars="200"/>
        <w:contextualSpacing/>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一是：通过部门项目支出绩效评价，进一步严格落实《中华人民共和国预算法》以及党中央、国务院关于加强预算绩效管理的指示精神，建立健全“花钱必问效、无效必问责”的绩效预算管理机制</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提升财政资金的使用效能。</w:t>
      </w:r>
    </w:p>
    <w:p>
      <w:pPr>
        <w:keepNext w:val="0"/>
        <w:keepLines w:val="0"/>
        <w:pageBreakBefore w:val="0"/>
        <w:widowControl w:val="0"/>
        <w:pBdr>
          <w:top w:val="none" w:color="auto" w:sz="0" w:space="0"/>
          <w:left w:val="none" w:color="auto" w:sz="0" w:space="0"/>
          <w:bottom w:val="none" w:color="auto" w:sz="0" w:space="31"/>
          <w:right w:val="none" w:color="auto" w:sz="0" w:space="2"/>
        </w:pBdr>
        <w:kinsoku/>
        <w:wordWrap/>
        <w:overflowPunct/>
        <w:topLinePunct w:val="0"/>
        <w:autoSpaceDE/>
        <w:autoSpaceDN w:val="0"/>
        <w:bidi w:val="0"/>
        <w:adjustRightInd w:val="0"/>
        <w:spacing w:line="560" w:lineRule="exact"/>
        <w:ind w:firstLine="640" w:firstLineChars="200"/>
        <w:contextualSpacing/>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二是：通过部门项目支出绩效评价，进一步做实绩效目标，根据项目绩效目标设立情况，细化形成多维度绩效指标，将绩效指标细化为数量指标、质量指标、时效指标、成本指标、经济效益指标、社会效益指标、可持续影响指标、服务对象满意度指标等内容，保证项目绩效指标设置科学、规范、合理、可衡量。</w:t>
      </w:r>
    </w:p>
    <w:p>
      <w:pPr>
        <w:keepNext w:val="0"/>
        <w:keepLines w:val="0"/>
        <w:pageBreakBefore w:val="0"/>
        <w:widowControl w:val="0"/>
        <w:pBdr>
          <w:top w:val="none" w:color="auto" w:sz="0" w:space="0"/>
          <w:left w:val="none" w:color="auto" w:sz="0" w:space="0"/>
          <w:bottom w:val="none" w:color="auto" w:sz="0" w:space="31"/>
          <w:right w:val="none" w:color="auto" w:sz="0" w:space="2"/>
        </w:pBdr>
        <w:kinsoku/>
        <w:wordWrap/>
        <w:overflowPunct/>
        <w:topLinePunct w:val="0"/>
        <w:autoSpaceDE/>
        <w:autoSpaceDN w:val="0"/>
        <w:bidi w:val="0"/>
        <w:adjustRightInd w:val="0"/>
        <w:spacing w:line="560" w:lineRule="exact"/>
        <w:ind w:firstLine="640" w:firstLineChars="200"/>
        <w:contextualSpacing/>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p>
    <w:p>
      <w:pPr>
        <w:keepNext w:val="0"/>
        <w:keepLines w:val="0"/>
        <w:pageBreakBefore w:val="0"/>
        <w:widowControl w:val="0"/>
        <w:pBdr>
          <w:top w:val="none" w:color="auto" w:sz="0" w:space="0"/>
          <w:left w:val="none" w:color="auto" w:sz="0" w:space="0"/>
          <w:bottom w:val="none" w:color="auto" w:sz="0" w:space="31"/>
          <w:right w:val="none" w:color="auto" w:sz="0" w:space="2"/>
        </w:pBdr>
        <w:kinsoku/>
        <w:wordWrap/>
        <w:overflowPunct/>
        <w:topLinePunct w:val="0"/>
        <w:autoSpaceDE/>
        <w:autoSpaceDN w:val="0"/>
        <w:bidi w:val="0"/>
        <w:adjustRightInd w:val="0"/>
        <w:spacing w:line="560" w:lineRule="exact"/>
        <w:ind w:firstLine="640" w:firstLineChars="200"/>
        <w:contextualSpacing/>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p>
    <w:p>
      <w:pPr>
        <w:pBdr>
          <w:top w:val="none" w:color="auto" w:sz="0" w:space="0"/>
          <w:left w:val="none" w:color="auto" w:sz="0" w:space="0"/>
          <w:bottom w:val="none" w:color="auto" w:sz="0" w:space="31"/>
          <w:right w:val="none" w:color="auto" w:sz="0" w:space="2"/>
        </w:pBdr>
        <w:autoSpaceDN w:val="0"/>
        <w:adjustRightInd w:val="0"/>
        <w:spacing w:line="560" w:lineRule="exact"/>
        <w:ind w:firstLine="643" w:firstLineChars="200"/>
        <w:contextualSpacing/>
        <w:rPr>
          <w:rFonts w:hint="eastAsia" w:ascii="仿宋_GB2312" w:hAnsi="仿宋" w:cs="宋体"/>
          <w:b/>
          <w:color w:val="auto"/>
          <w:sz w:val="32"/>
          <w:szCs w:val="32"/>
          <w:highlight w:val="none"/>
        </w:rPr>
      </w:pPr>
      <w:r>
        <w:rPr>
          <w:rFonts w:hint="eastAsia" w:ascii="仿宋_GB2312" w:hAnsi="仿宋" w:cs="宋体"/>
          <w:b/>
          <w:color w:val="auto"/>
          <w:sz w:val="32"/>
          <w:szCs w:val="32"/>
          <w:highlight w:val="none"/>
        </w:rPr>
        <w:t>2．绩效评价对象</w:t>
      </w:r>
    </w:p>
    <w:p>
      <w:pPr>
        <w:pBdr>
          <w:top w:val="none" w:color="auto" w:sz="0" w:space="0"/>
          <w:left w:val="none" w:color="auto" w:sz="0" w:space="0"/>
          <w:bottom w:val="none" w:color="auto" w:sz="0" w:space="31"/>
          <w:right w:val="none" w:color="auto" w:sz="0" w:space="2"/>
        </w:pBdr>
        <w:autoSpaceDN w:val="0"/>
        <w:adjustRightInd w:val="0"/>
        <w:spacing w:line="560" w:lineRule="exact"/>
        <w:ind w:firstLine="640" w:firstLineChars="200"/>
        <w:contextualSpacing/>
        <w:rPr>
          <w:rFonts w:hint="eastAsia"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对</w:t>
      </w:r>
      <w:r>
        <w:rPr>
          <w:rFonts w:hint="eastAsia" w:ascii="仿宋_GB2312" w:hAnsi="仿宋_GB2312" w:cs="仿宋_GB2312"/>
          <w:color w:val="auto"/>
          <w:sz w:val="32"/>
          <w:szCs w:val="32"/>
          <w:highlight w:val="none"/>
          <w:lang w:eastAsia="zh-CN"/>
        </w:rPr>
        <w:t>2024年新疆西藏等地区教育特殊补助资金项目（园舍维修资金）</w:t>
      </w:r>
      <w:r>
        <w:rPr>
          <w:rFonts w:hint="eastAsia" w:ascii="仿宋_GB2312" w:hAnsi="仿宋_GB2312" w:cs="仿宋_GB2312"/>
          <w:color w:val="auto"/>
          <w:sz w:val="32"/>
          <w:szCs w:val="32"/>
          <w:highlight w:val="none"/>
        </w:rPr>
        <w:t>从预算编制合理性、资金使用合规性、项目管理的规范性、实施情况、总体绩效目标、各项绩效指标完成情况以及预算执行情况进行科学性评价。</w:t>
      </w:r>
    </w:p>
    <w:p>
      <w:pPr>
        <w:pBdr>
          <w:top w:val="none" w:color="auto" w:sz="0" w:space="0"/>
          <w:left w:val="none" w:color="auto" w:sz="0" w:space="0"/>
          <w:bottom w:val="none" w:color="auto" w:sz="0" w:space="31"/>
          <w:right w:val="none" w:color="auto" w:sz="0" w:space="2"/>
        </w:pBdr>
        <w:autoSpaceDN w:val="0"/>
        <w:adjustRightInd w:val="0"/>
        <w:spacing w:line="560" w:lineRule="exact"/>
        <w:ind w:firstLine="643" w:firstLineChars="200"/>
        <w:contextualSpacing/>
        <w:rPr>
          <w:rFonts w:hint="eastAsia" w:ascii="仿宋_GB2312" w:hAnsi="仿宋" w:cs="宋体"/>
          <w:b/>
          <w:color w:val="auto"/>
          <w:sz w:val="32"/>
          <w:szCs w:val="32"/>
          <w:highlight w:val="none"/>
        </w:rPr>
      </w:pPr>
      <w:r>
        <w:rPr>
          <w:rFonts w:hint="eastAsia" w:ascii="仿宋_GB2312" w:hAnsi="仿宋" w:cs="宋体"/>
          <w:b/>
          <w:color w:val="auto"/>
          <w:sz w:val="32"/>
          <w:szCs w:val="32"/>
          <w:highlight w:val="none"/>
        </w:rPr>
        <w:t>3．绩效评价范围</w:t>
      </w:r>
    </w:p>
    <w:p>
      <w:pPr>
        <w:pBdr>
          <w:top w:val="none" w:color="auto" w:sz="0" w:space="0"/>
          <w:left w:val="none" w:color="auto" w:sz="0" w:space="0"/>
          <w:bottom w:val="none" w:color="auto" w:sz="0" w:space="31"/>
          <w:right w:val="none" w:color="auto" w:sz="0" w:space="2"/>
        </w:pBdr>
        <w:autoSpaceDN w:val="0"/>
        <w:adjustRightInd w:val="0"/>
        <w:spacing w:line="560" w:lineRule="exact"/>
        <w:ind w:firstLine="640" w:firstLineChars="200"/>
        <w:contextualSpacing/>
        <w:rPr>
          <w:rFonts w:hint="eastAsia" w:ascii="仿宋_GB2312" w:hAnsi="仿宋_GB2312" w:cs="仿宋_GB2312"/>
          <w:color w:val="auto"/>
          <w:sz w:val="32"/>
          <w:highlight w:val="none"/>
        </w:rPr>
      </w:pPr>
      <w:r>
        <w:rPr>
          <w:rFonts w:hint="eastAsia" w:ascii="仿宋_GB2312" w:hAnsi="仿宋_GB2312" w:cs="仿宋_GB2312"/>
          <w:color w:val="auto"/>
          <w:sz w:val="32"/>
          <w:highlight w:val="none"/>
        </w:rPr>
        <w:t>本次评价从项目决策（包括绩效目标、决策过程）、项目管理（包括项目资金、项目实施）、项目产出（包括项目产出数量、产出质量、产出时效和产出成本）项目效益四个维度进行评价。</w:t>
      </w:r>
    </w:p>
    <w:p>
      <w:pPr>
        <w:pBdr>
          <w:top w:val="none" w:color="auto" w:sz="0" w:space="0"/>
          <w:left w:val="none" w:color="auto" w:sz="0" w:space="0"/>
          <w:bottom w:val="none" w:color="auto" w:sz="0" w:space="31"/>
          <w:right w:val="none" w:color="auto" w:sz="0" w:space="2"/>
        </w:pBdr>
        <w:autoSpaceDN w:val="0"/>
        <w:adjustRightInd w:val="0"/>
        <w:spacing w:line="560" w:lineRule="exact"/>
        <w:ind w:firstLine="643" w:firstLineChars="200"/>
        <w:contextualSpacing/>
        <w:rPr>
          <w:rFonts w:hint="eastAsia" w:ascii="楷体" w:hAnsi="楷体" w:eastAsia="楷体" w:cs="仿宋_GB2312"/>
          <w:b/>
          <w:bCs w:val="0"/>
          <w:color w:val="auto"/>
          <w:sz w:val="32"/>
          <w:highlight w:val="none"/>
        </w:rPr>
      </w:pPr>
      <w:r>
        <w:rPr>
          <w:rFonts w:hint="eastAsia" w:ascii="楷体" w:hAnsi="楷体" w:eastAsia="楷体" w:cs="仿宋_GB2312"/>
          <w:b/>
          <w:bCs w:val="0"/>
          <w:color w:val="auto"/>
          <w:sz w:val="32"/>
          <w:highlight w:val="none"/>
        </w:rPr>
        <w:t>（二）绩效评价原则、评价指标体系（附表说明）、评价方法、评价标准等。</w:t>
      </w:r>
    </w:p>
    <w:p>
      <w:pPr>
        <w:pBdr>
          <w:top w:val="none" w:color="auto" w:sz="0" w:space="0"/>
          <w:left w:val="none" w:color="auto" w:sz="0" w:space="0"/>
          <w:bottom w:val="none" w:color="auto" w:sz="0" w:space="31"/>
          <w:right w:val="none" w:color="auto" w:sz="0" w:space="2"/>
        </w:pBdr>
        <w:autoSpaceDN w:val="0"/>
        <w:adjustRightInd w:val="0"/>
        <w:spacing w:line="560" w:lineRule="exact"/>
        <w:ind w:firstLine="643" w:firstLineChars="200"/>
        <w:contextualSpacing/>
        <w:rPr>
          <w:rFonts w:hint="eastAsia" w:ascii="仿宋_GB2312" w:hAnsi="仿宋_GB2312" w:eastAsia="仿宋_GB2312" w:cs="仿宋_GB2312"/>
          <w:b/>
          <w:color w:val="auto"/>
          <w:sz w:val="32"/>
          <w:highlight w:val="none"/>
          <w:lang w:eastAsia="zh-CN"/>
        </w:rPr>
      </w:pPr>
      <w:r>
        <w:rPr>
          <w:rFonts w:hint="eastAsia" w:ascii="仿宋_GB2312" w:hAnsi="仿宋" w:cs="宋体"/>
          <w:b/>
          <w:color w:val="auto"/>
          <w:sz w:val="32"/>
          <w:szCs w:val="32"/>
          <w:highlight w:val="none"/>
        </w:rPr>
        <w:t>1．</w:t>
      </w:r>
      <w:r>
        <w:rPr>
          <w:rFonts w:hint="eastAsia" w:ascii="仿宋_GB2312" w:hAnsi="仿宋_GB2312" w:cs="仿宋_GB2312"/>
          <w:b/>
          <w:color w:val="auto"/>
          <w:sz w:val="32"/>
          <w:highlight w:val="none"/>
        </w:rPr>
        <w:t>绩效评价原则</w:t>
      </w:r>
    </w:p>
    <w:p>
      <w:pPr>
        <w:pBdr>
          <w:top w:val="none" w:color="auto" w:sz="0" w:space="0"/>
          <w:left w:val="none" w:color="auto" w:sz="0" w:space="0"/>
          <w:bottom w:val="none" w:color="auto" w:sz="0" w:space="31"/>
          <w:right w:val="none" w:color="auto" w:sz="0" w:space="2"/>
        </w:pBdr>
        <w:autoSpaceDN w:val="0"/>
        <w:adjustRightInd w:val="0"/>
        <w:spacing w:line="560" w:lineRule="exact"/>
        <w:ind w:firstLine="640" w:firstLineChars="200"/>
        <w:contextualSpacing/>
        <w:rPr>
          <w:rFonts w:hint="eastAsia" w:ascii="仿宋_GB2312" w:hAnsi="仿宋_GB2312" w:cs="仿宋_GB2312"/>
          <w:color w:val="auto"/>
          <w:sz w:val="32"/>
          <w:highlight w:val="none"/>
        </w:rPr>
      </w:pPr>
      <w:r>
        <w:rPr>
          <w:rFonts w:hint="eastAsia" w:ascii="仿宋_GB2312" w:hAnsi="仿宋_GB2312" w:cs="仿宋_GB2312"/>
          <w:color w:val="auto"/>
          <w:sz w:val="32"/>
          <w:highlight w:val="none"/>
        </w:rPr>
        <w:t>（1）科学公正。绩效评价应当运用科学合理的方法，按照规范的程序，对项目绩效进行客观、公正的反映。</w:t>
      </w:r>
    </w:p>
    <w:p>
      <w:pPr>
        <w:pBdr>
          <w:top w:val="none" w:color="auto" w:sz="0" w:space="0"/>
          <w:left w:val="none" w:color="auto" w:sz="0" w:space="0"/>
          <w:bottom w:val="none" w:color="auto" w:sz="0" w:space="31"/>
          <w:right w:val="none" w:color="auto" w:sz="0" w:space="2"/>
        </w:pBdr>
        <w:autoSpaceDN w:val="0"/>
        <w:adjustRightInd w:val="0"/>
        <w:spacing w:line="560" w:lineRule="exact"/>
        <w:ind w:firstLine="640" w:firstLineChars="200"/>
        <w:contextualSpacing/>
        <w:rPr>
          <w:rFonts w:hint="eastAsia" w:ascii="仿宋_GB2312" w:hAnsi="仿宋_GB2312" w:cs="仿宋_GB2312"/>
          <w:color w:val="auto"/>
          <w:sz w:val="32"/>
          <w:highlight w:val="none"/>
        </w:rPr>
      </w:pPr>
      <w:r>
        <w:rPr>
          <w:rFonts w:hint="eastAsia" w:ascii="仿宋_GB2312" w:hAnsi="仿宋_GB2312" w:cs="仿宋_GB2312"/>
          <w:color w:val="auto"/>
          <w:sz w:val="32"/>
          <w:highlight w:val="none"/>
        </w:rPr>
        <w:t>（2）统筹兼顾。单位自评、部门评价和财政评价应职责明确，各有侧重，相互衔接。单位自评应由项目单位自主实施，即“谁支出、谁自评”。部门评价和财政评价应在单位自评的基础上开展，必要时可委托第三方机构实施。</w:t>
      </w:r>
    </w:p>
    <w:p>
      <w:pPr>
        <w:pBdr>
          <w:top w:val="none" w:color="auto" w:sz="0" w:space="0"/>
          <w:left w:val="none" w:color="auto" w:sz="0" w:space="0"/>
          <w:bottom w:val="none" w:color="auto" w:sz="0" w:space="31"/>
          <w:right w:val="none" w:color="auto" w:sz="0" w:space="2"/>
        </w:pBdr>
        <w:autoSpaceDN w:val="0"/>
        <w:adjustRightInd w:val="0"/>
        <w:spacing w:line="560" w:lineRule="exact"/>
        <w:ind w:firstLine="640" w:firstLineChars="200"/>
        <w:contextualSpacing/>
        <w:rPr>
          <w:rFonts w:hint="eastAsia" w:ascii="仿宋_GB2312" w:hAnsi="仿宋_GB2312" w:cs="仿宋_GB2312"/>
          <w:color w:val="auto"/>
          <w:sz w:val="32"/>
          <w:highlight w:val="none"/>
        </w:rPr>
      </w:pPr>
      <w:r>
        <w:rPr>
          <w:rFonts w:hint="eastAsia" w:ascii="仿宋_GB2312" w:hAnsi="仿宋_GB2312" w:cs="仿宋_GB2312"/>
          <w:color w:val="auto"/>
          <w:sz w:val="32"/>
          <w:highlight w:val="none"/>
        </w:rPr>
        <w:t>（3）激励约束。绩效评价结果</w:t>
      </w:r>
      <w:r>
        <w:rPr>
          <w:rFonts w:hint="eastAsia" w:ascii="仿宋_GB2312" w:hAnsi="仿宋_GB2312" w:cs="仿宋_GB2312"/>
          <w:color w:val="auto"/>
          <w:sz w:val="32"/>
          <w:highlight w:val="none"/>
          <w:lang w:eastAsia="zh-CN"/>
        </w:rPr>
        <w:t>应用、</w:t>
      </w:r>
      <w:r>
        <w:rPr>
          <w:rFonts w:hint="eastAsia" w:ascii="仿宋_GB2312" w:hAnsi="仿宋_GB2312" w:cs="仿宋_GB2312"/>
          <w:color w:val="auto"/>
          <w:sz w:val="32"/>
          <w:highlight w:val="none"/>
        </w:rPr>
        <w:t>预算安排、政策调整、改进管理实质性挂钩，体现奖优罚劣和激励导向，有效要安排、低效要压减、无效要问责。</w:t>
      </w:r>
    </w:p>
    <w:p>
      <w:pPr>
        <w:pBdr>
          <w:top w:val="none" w:color="auto" w:sz="0" w:space="0"/>
          <w:left w:val="none" w:color="auto" w:sz="0" w:space="0"/>
          <w:bottom w:val="none" w:color="auto" w:sz="0" w:space="31"/>
          <w:right w:val="none" w:color="auto" w:sz="0" w:space="2"/>
        </w:pBdr>
        <w:autoSpaceDN w:val="0"/>
        <w:adjustRightInd w:val="0"/>
        <w:spacing w:line="560" w:lineRule="exact"/>
        <w:ind w:firstLine="640" w:firstLineChars="200"/>
        <w:contextualSpacing/>
        <w:rPr>
          <w:rFonts w:hint="eastAsia" w:ascii="仿宋_GB2312" w:hAnsi="仿宋_GB2312" w:cs="仿宋_GB2312"/>
          <w:color w:val="auto"/>
          <w:sz w:val="32"/>
          <w:highlight w:val="none"/>
        </w:rPr>
      </w:pPr>
      <w:r>
        <w:rPr>
          <w:rFonts w:hint="eastAsia" w:ascii="仿宋_GB2312" w:hAnsi="仿宋_GB2312" w:cs="仿宋_GB2312"/>
          <w:color w:val="auto"/>
          <w:sz w:val="32"/>
          <w:highlight w:val="none"/>
        </w:rPr>
        <w:t>（4）公开透明。绩效评价结果应依法依规公开，并自觉接受社会监督。</w:t>
      </w:r>
    </w:p>
    <w:p>
      <w:pPr>
        <w:pBdr>
          <w:top w:val="none" w:color="auto" w:sz="0" w:space="0"/>
          <w:left w:val="none" w:color="auto" w:sz="0" w:space="0"/>
          <w:bottom w:val="none" w:color="auto" w:sz="0" w:space="31"/>
          <w:right w:val="none" w:color="auto" w:sz="0" w:space="2"/>
        </w:pBdr>
        <w:autoSpaceDN w:val="0"/>
        <w:adjustRightInd w:val="0"/>
        <w:spacing w:line="560" w:lineRule="exact"/>
        <w:ind w:firstLine="643" w:firstLineChars="200"/>
        <w:contextualSpacing/>
        <w:rPr>
          <w:rFonts w:hint="eastAsia" w:ascii="仿宋_GB2312" w:hAnsi="仿宋_GB2312" w:cs="仿宋_GB2312"/>
          <w:b/>
          <w:bCs/>
          <w:color w:val="auto"/>
          <w:sz w:val="32"/>
          <w:highlight w:val="none"/>
          <w:lang w:val="en-US" w:eastAsia="zh-CN"/>
        </w:rPr>
      </w:pPr>
      <w:r>
        <w:rPr>
          <w:rFonts w:hint="eastAsia" w:ascii="仿宋_GB2312" w:hAnsi="仿宋_GB2312" w:cs="仿宋_GB2312"/>
          <w:b/>
          <w:bCs/>
          <w:color w:val="auto"/>
          <w:sz w:val="32"/>
          <w:highlight w:val="none"/>
          <w:lang w:eastAsia="zh-CN"/>
        </w:rPr>
        <w:t>2</w:t>
      </w:r>
      <w:r>
        <w:rPr>
          <w:rFonts w:hint="eastAsia" w:ascii="仿宋_GB2312" w:hAnsi="仿宋_GB2312" w:cs="仿宋_GB2312"/>
          <w:b/>
          <w:bCs/>
          <w:color w:val="auto"/>
          <w:sz w:val="32"/>
          <w:highlight w:val="none"/>
        </w:rPr>
        <w:t>．</w:t>
      </w:r>
      <w:r>
        <w:rPr>
          <w:rFonts w:hint="eastAsia" w:ascii="仿宋_GB2312" w:hAnsi="仿宋_GB2312" w:cs="仿宋_GB2312"/>
          <w:b/>
          <w:bCs/>
          <w:color w:val="auto"/>
          <w:sz w:val="32"/>
          <w:highlight w:val="none"/>
          <w:lang w:val="en-US" w:eastAsia="zh-CN"/>
        </w:rPr>
        <w:t>绩效评价指标体系</w:t>
      </w:r>
    </w:p>
    <w:p>
      <w:pPr>
        <w:pBdr>
          <w:top w:val="none" w:color="auto" w:sz="0" w:space="0"/>
          <w:left w:val="none" w:color="auto" w:sz="0" w:space="0"/>
          <w:bottom w:val="none" w:color="auto" w:sz="0" w:space="31"/>
          <w:right w:val="none" w:color="auto" w:sz="0" w:space="2"/>
        </w:pBdr>
        <w:autoSpaceDN w:val="0"/>
        <w:adjustRightInd w:val="0"/>
        <w:spacing w:line="560" w:lineRule="exact"/>
        <w:ind w:firstLine="640" w:firstLineChars="200"/>
        <w:contextualSpacing/>
        <w:rPr>
          <w:rFonts w:hint="eastAsia" w:ascii="仿宋_GB2312" w:hAnsi="仿宋_GB2312" w:cs="仿宋_GB2312"/>
          <w:color w:val="auto"/>
          <w:sz w:val="32"/>
          <w:highlight w:val="none"/>
          <w:lang w:eastAsia="zh-CN"/>
        </w:rPr>
      </w:pPr>
      <w:r>
        <w:rPr>
          <w:rFonts w:hint="eastAsia" w:ascii="仿宋_GB2312" w:hAnsi="仿宋_GB2312" w:cs="仿宋_GB2312"/>
          <w:color w:val="auto"/>
          <w:sz w:val="32"/>
          <w:highlight w:val="none"/>
          <w:lang w:val="en-US" w:eastAsia="zh-CN"/>
        </w:rPr>
        <w:t>绩效评价指标体系是衡量绩效目标实现程度的考核工具。根据绩效评价的基本原理、原则和项目特点，结合绩效目标，按照逻辑分析法设计评价指标体系，包括项目决策、项目过程、项目产出、项目绩效四部分内容，体现从项目本身、执行到效果的逻辑路径。</w:t>
      </w:r>
    </w:p>
    <w:p>
      <w:pPr>
        <w:pBdr>
          <w:top w:val="none" w:color="auto" w:sz="0" w:space="0"/>
          <w:left w:val="none" w:color="auto" w:sz="0" w:space="0"/>
          <w:bottom w:val="none" w:color="auto" w:sz="0" w:space="31"/>
          <w:right w:val="none" w:color="auto" w:sz="0" w:space="2"/>
        </w:pBdr>
        <w:autoSpaceDN w:val="0"/>
        <w:adjustRightInd w:val="0"/>
        <w:spacing w:line="560" w:lineRule="exact"/>
        <w:ind w:firstLine="640" w:firstLineChars="200"/>
        <w:contextualSpacing/>
        <w:rPr>
          <w:rFonts w:hint="eastAsia" w:ascii="仿宋_GB2312" w:hAnsi="仿宋_GB2312" w:cs="仿宋_GB2312"/>
          <w:color w:val="auto"/>
          <w:sz w:val="32"/>
          <w:highlight w:val="none"/>
          <w:lang w:val="en-US" w:eastAsia="zh-CN"/>
        </w:rPr>
      </w:pPr>
      <w:r>
        <w:rPr>
          <w:rFonts w:hint="eastAsia" w:ascii="仿宋_GB2312" w:hAnsi="仿宋_GB2312" w:cs="仿宋_GB2312"/>
          <w:color w:val="auto"/>
          <w:sz w:val="32"/>
          <w:highlight w:val="none"/>
          <w:lang w:val="en-US" w:eastAsia="zh-CN"/>
        </w:rPr>
        <w:t>在对2024年新疆西藏等地区教育特殊补助资金项目（园舍维修资金）的深入调研基础上，按照《项目支出绩效评价管理办法》（财预〔2021〕10号）对于指标体系的要求和规范，建立一套适合评价2024年新疆西藏等地区教育特殊补助资金项目（园舍维修资金）的指标体系，从项目决策、项目过程、项目产出和项目绩效四个维度全面考察2024年新疆西藏等地区教育特殊补助资金项目（园舍维修资金）资金的效益，并重点对于项目的产出和绩效进行总体分析，以达到通过指标体系的科学评价反思管理及决策问题的目标。（见附件1）</w:t>
      </w:r>
    </w:p>
    <w:p>
      <w:pPr>
        <w:numPr>
          <w:ilvl w:val="0"/>
          <w:numId w:val="2"/>
        </w:numPr>
        <w:pBdr>
          <w:top w:val="none" w:color="auto" w:sz="0" w:space="0"/>
          <w:left w:val="none" w:color="auto" w:sz="0" w:space="0"/>
          <w:bottom w:val="none" w:color="auto" w:sz="0" w:space="31"/>
          <w:right w:val="none" w:color="auto" w:sz="0" w:space="2"/>
        </w:pBdr>
        <w:autoSpaceDN w:val="0"/>
        <w:adjustRightInd w:val="0"/>
        <w:spacing w:line="560" w:lineRule="exact"/>
        <w:ind w:firstLine="643" w:firstLineChars="200"/>
        <w:contextualSpacing/>
        <w:rPr>
          <w:rFonts w:hint="eastAsia" w:ascii="仿宋_GB2312" w:hAnsi="仿宋" w:eastAsia="仿宋_GB2312"/>
          <w:color w:val="auto"/>
          <w:sz w:val="32"/>
          <w:szCs w:val="32"/>
          <w:highlight w:val="none"/>
        </w:rPr>
      </w:pPr>
      <w:r>
        <w:rPr>
          <w:rFonts w:hint="eastAsia" w:ascii="仿宋_GB2312" w:hAnsi="仿宋_GB2312" w:cs="仿宋_GB2312"/>
          <w:b/>
          <w:bCs/>
          <w:color w:val="auto"/>
          <w:sz w:val="32"/>
          <w:highlight w:val="none"/>
          <w:lang w:val="en-US" w:eastAsia="zh-CN"/>
        </w:rPr>
        <w:t>绩效评价方法</w:t>
      </w:r>
    </w:p>
    <w:p>
      <w:pPr>
        <w:pBdr>
          <w:top w:val="none" w:color="auto" w:sz="0" w:space="0"/>
          <w:left w:val="none" w:color="auto" w:sz="0" w:space="0"/>
          <w:bottom w:val="none" w:color="auto" w:sz="0" w:space="31"/>
          <w:right w:val="none" w:color="auto" w:sz="0" w:space="2"/>
        </w:pBdr>
        <w:autoSpaceDN w:val="0"/>
        <w:adjustRightInd w:val="0"/>
        <w:spacing w:line="560" w:lineRule="exact"/>
        <w:ind w:firstLine="640" w:firstLineChars="200"/>
        <w:contextualSpacing/>
        <w:rPr>
          <w:rFonts w:hint="eastAsia" w:ascii="仿宋_GB2312" w:hAnsi="仿宋_GB2312" w:cs="仿宋_GB2312"/>
          <w:color w:val="auto"/>
          <w:sz w:val="32"/>
          <w:highlight w:val="none"/>
          <w:lang w:val="en-US" w:eastAsia="zh-CN"/>
        </w:rPr>
      </w:pPr>
      <w:r>
        <w:rPr>
          <w:rFonts w:hint="eastAsia" w:ascii="仿宋_GB2312" w:hAnsi="仿宋_GB2312" w:cs="仿宋_GB2312"/>
          <w:color w:val="auto"/>
          <w:sz w:val="32"/>
          <w:highlight w:val="none"/>
          <w:lang w:val="en-US" w:eastAsia="zh-CN"/>
        </w:rPr>
        <w:t>绩效评价方法主要包括成本效益分析法、比较法、因素分析法、最低成本法、公众评判法、标杆管理法等。我单位根据本项目资金的性质和特点，选用比较法、因素分析法、公众评判法以及文献法对项目进行评价，旨在通过综合分析影响绩效目标实现、实施效果的内外部因素，从而评价本项目绩效。</w:t>
      </w:r>
    </w:p>
    <w:p>
      <w:pPr>
        <w:pBdr>
          <w:top w:val="none" w:color="auto" w:sz="0" w:space="0"/>
          <w:left w:val="none" w:color="auto" w:sz="0" w:space="0"/>
          <w:bottom w:val="none" w:color="auto" w:sz="0" w:space="31"/>
          <w:right w:val="none" w:color="auto" w:sz="0" w:space="2"/>
        </w:pBdr>
        <w:autoSpaceDN w:val="0"/>
        <w:adjustRightInd w:val="0"/>
        <w:spacing w:line="560" w:lineRule="exact"/>
        <w:ind w:firstLine="640" w:firstLineChars="200"/>
        <w:contextualSpacing/>
        <w:rPr>
          <w:rFonts w:hint="eastAsia" w:ascii="仿宋_GB2312" w:hAnsi="仿宋_GB2312" w:cs="仿宋_GB2312"/>
          <w:color w:val="auto"/>
          <w:sz w:val="32"/>
          <w:highlight w:val="none"/>
          <w:lang w:val="en-US" w:eastAsia="zh-CN"/>
        </w:rPr>
      </w:pPr>
      <w:r>
        <w:rPr>
          <w:rFonts w:hint="eastAsia" w:ascii="仿宋_GB2312" w:hAnsi="仿宋_GB2312" w:cs="仿宋_GB2312"/>
          <w:color w:val="auto"/>
          <w:sz w:val="32"/>
          <w:highlight w:val="none"/>
          <w:lang w:val="en-US" w:eastAsia="zh-CN"/>
        </w:rPr>
        <w:t>三级指标分析环节：总体采用比较法，同时辅以文献法、成本效益法、因素分析法以及公众评判法，根据不同三级指标类型进行逐项分析。</w:t>
      </w:r>
    </w:p>
    <w:p>
      <w:pPr>
        <w:pBdr>
          <w:top w:val="none" w:color="auto" w:sz="0" w:space="0"/>
          <w:left w:val="none" w:color="auto" w:sz="0" w:space="0"/>
          <w:bottom w:val="none" w:color="auto" w:sz="0" w:space="31"/>
          <w:right w:val="none" w:color="auto" w:sz="0" w:space="2"/>
        </w:pBdr>
        <w:autoSpaceDN w:val="0"/>
        <w:adjustRightInd w:val="0"/>
        <w:spacing w:line="560" w:lineRule="exact"/>
        <w:ind w:firstLine="640" w:firstLineChars="200"/>
        <w:contextualSpacing/>
        <w:rPr>
          <w:rFonts w:hint="eastAsia" w:ascii="仿宋_GB2312" w:hAnsi="仿宋_GB2312" w:cs="仿宋_GB2312"/>
          <w:color w:val="auto"/>
          <w:sz w:val="32"/>
          <w:highlight w:val="none"/>
          <w:lang w:val="en-US" w:eastAsia="zh-CN"/>
        </w:rPr>
      </w:pPr>
      <w:r>
        <w:rPr>
          <w:rFonts w:hint="eastAsia" w:ascii="仿宋_GB2312" w:hAnsi="仿宋_GB2312" w:cs="仿宋_GB2312"/>
          <w:color w:val="auto"/>
          <w:sz w:val="32"/>
          <w:highlight w:val="none"/>
          <w:lang w:val="en-US" w:eastAsia="zh-CN"/>
        </w:rPr>
        <w:t>①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p>
    <w:p>
      <w:pPr>
        <w:pBdr>
          <w:top w:val="none" w:color="auto" w:sz="0" w:space="0"/>
          <w:left w:val="none" w:color="auto" w:sz="0" w:space="0"/>
          <w:bottom w:val="none" w:color="auto" w:sz="0" w:space="31"/>
          <w:right w:val="none" w:color="auto" w:sz="0" w:space="2"/>
        </w:pBdr>
        <w:autoSpaceDN w:val="0"/>
        <w:adjustRightInd w:val="0"/>
        <w:spacing w:line="560" w:lineRule="exact"/>
        <w:ind w:firstLine="640" w:firstLineChars="200"/>
        <w:contextualSpacing/>
        <w:rPr>
          <w:rFonts w:hint="eastAsia" w:ascii="仿宋_GB2312" w:hAnsi="仿宋_GB2312" w:cs="仿宋_GB2312"/>
          <w:color w:val="auto"/>
          <w:sz w:val="32"/>
          <w:highlight w:val="none"/>
          <w:lang w:val="en-US" w:eastAsia="zh-CN"/>
        </w:rPr>
      </w:pPr>
      <w:r>
        <w:rPr>
          <w:rFonts w:hint="eastAsia" w:ascii="仿宋_GB2312" w:hAnsi="仿宋_GB2312" w:cs="仿宋_GB2312"/>
          <w:color w:val="auto"/>
          <w:sz w:val="32"/>
          <w:highlight w:val="none"/>
          <w:lang w:val="en-US" w:eastAsia="zh-CN"/>
        </w:rPr>
        <w:t>②定性指标分析环节：主要采用公众评判法，通过问卷及抽样调查等方式评价本项目实施后社会公众对于其实施效果的满意程度，将调研结果按照《项目支出绩效评价管理办法》（财预〔2020〕10号）、《自治区项目支出绩效目标设置指引》（新财预〔2022〕42号）文要求分为基本达成目标、部分实现目标、实现目标程度较低三个档次，并分别按照该指标对应分值区间100%-80%(含)、80%-60%(含)、60%-0%合理确定分值，详细评价方法的应用如下:</w:t>
      </w:r>
    </w:p>
    <w:p>
      <w:pPr>
        <w:pBdr>
          <w:top w:val="none" w:color="auto" w:sz="0" w:space="0"/>
          <w:left w:val="none" w:color="auto" w:sz="0" w:space="0"/>
          <w:bottom w:val="none" w:color="auto" w:sz="0" w:space="31"/>
          <w:right w:val="none" w:color="auto" w:sz="0" w:space="2"/>
        </w:pBdr>
        <w:autoSpaceDN w:val="0"/>
        <w:adjustRightInd w:val="0"/>
        <w:spacing w:line="560" w:lineRule="exact"/>
        <w:ind w:firstLine="640" w:firstLineChars="200"/>
        <w:contextualSpacing/>
        <w:rPr>
          <w:rFonts w:hint="eastAsia" w:ascii="仿宋_GB2312" w:hAnsi="仿宋_GB2312" w:cs="仿宋_GB2312"/>
          <w:color w:val="auto"/>
          <w:sz w:val="32"/>
          <w:highlight w:val="none"/>
          <w:lang w:val="en-US" w:eastAsia="zh-CN"/>
        </w:rPr>
      </w:pPr>
      <w:r>
        <w:rPr>
          <w:rFonts w:hint="eastAsia" w:ascii="仿宋_GB2312" w:hAnsi="仿宋_GB2312" w:cs="仿宋_GB2312"/>
          <w:color w:val="auto"/>
          <w:sz w:val="32"/>
          <w:highlight w:val="none"/>
          <w:lang w:val="en-US" w:eastAsia="zh-CN"/>
        </w:rPr>
        <w:t>立项依据充分性：比较法、文献法，查找法律法规政策以及规划，对比实际执行内容和政策支持内容是否匹配。</w:t>
      </w:r>
    </w:p>
    <w:p>
      <w:pPr>
        <w:pBdr>
          <w:top w:val="none" w:color="auto" w:sz="0" w:space="0"/>
          <w:left w:val="none" w:color="auto" w:sz="0" w:space="0"/>
          <w:bottom w:val="none" w:color="auto" w:sz="0" w:space="31"/>
          <w:right w:val="none" w:color="auto" w:sz="0" w:space="2"/>
        </w:pBdr>
        <w:autoSpaceDN w:val="0"/>
        <w:adjustRightInd w:val="0"/>
        <w:spacing w:line="560" w:lineRule="exact"/>
        <w:ind w:firstLine="640" w:firstLineChars="200"/>
        <w:contextualSpacing/>
        <w:rPr>
          <w:rFonts w:hint="eastAsia" w:ascii="仿宋_GB2312" w:hAnsi="仿宋_GB2312" w:cs="仿宋_GB2312"/>
          <w:color w:val="auto"/>
          <w:sz w:val="32"/>
          <w:highlight w:val="none"/>
          <w:lang w:val="en-US" w:eastAsia="zh-CN"/>
        </w:rPr>
      </w:pPr>
      <w:r>
        <w:rPr>
          <w:rFonts w:hint="eastAsia" w:ascii="仿宋_GB2312" w:hAnsi="仿宋_GB2312" w:cs="仿宋_GB2312"/>
          <w:color w:val="auto"/>
          <w:sz w:val="32"/>
          <w:highlight w:val="none"/>
          <w:lang w:val="en-US" w:eastAsia="zh-CN"/>
        </w:rPr>
        <w:t>立项程序规范性：比较法、文献法，查找相关项目设立的政策和文件要求，对比分析实际执行程序是否按照政策及文件要求执行，分析立项程序的规范性。</w:t>
      </w:r>
    </w:p>
    <w:p>
      <w:pPr>
        <w:pBdr>
          <w:top w:val="none" w:color="auto" w:sz="0" w:space="0"/>
          <w:left w:val="none" w:color="auto" w:sz="0" w:space="0"/>
          <w:bottom w:val="none" w:color="auto" w:sz="0" w:space="31"/>
          <w:right w:val="none" w:color="auto" w:sz="0" w:space="2"/>
        </w:pBdr>
        <w:autoSpaceDN w:val="0"/>
        <w:adjustRightInd w:val="0"/>
        <w:spacing w:line="560" w:lineRule="exact"/>
        <w:ind w:firstLine="640" w:firstLineChars="200"/>
        <w:contextualSpacing/>
        <w:rPr>
          <w:rFonts w:hint="eastAsia" w:ascii="仿宋_GB2312" w:hAnsi="仿宋_GB2312" w:cs="仿宋_GB2312"/>
          <w:color w:val="auto"/>
          <w:sz w:val="32"/>
          <w:highlight w:val="none"/>
          <w:lang w:val="en-US" w:eastAsia="zh-CN"/>
        </w:rPr>
      </w:pPr>
      <w:r>
        <w:rPr>
          <w:rFonts w:hint="eastAsia" w:ascii="仿宋_GB2312" w:hAnsi="仿宋_GB2312" w:cs="仿宋_GB2312"/>
          <w:color w:val="auto"/>
          <w:sz w:val="32"/>
          <w:highlight w:val="none"/>
          <w:lang w:val="en-US" w:eastAsia="zh-CN"/>
        </w:rPr>
        <w:t>绩效目标合理性：比较法，对比分析年初编制项目支出绩效目标表与项目内容的相关性、资金的匹配性等。</w:t>
      </w:r>
    </w:p>
    <w:p>
      <w:pPr>
        <w:pBdr>
          <w:top w:val="none" w:color="auto" w:sz="0" w:space="0"/>
          <w:left w:val="none" w:color="auto" w:sz="0" w:space="0"/>
          <w:bottom w:val="none" w:color="auto" w:sz="0" w:space="31"/>
          <w:right w:val="none" w:color="auto" w:sz="0" w:space="2"/>
        </w:pBdr>
        <w:autoSpaceDN w:val="0"/>
        <w:adjustRightInd w:val="0"/>
        <w:spacing w:line="560" w:lineRule="exact"/>
        <w:ind w:firstLine="640" w:firstLineChars="200"/>
        <w:contextualSpacing/>
        <w:rPr>
          <w:rFonts w:hint="eastAsia" w:ascii="仿宋_GB2312" w:hAnsi="仿宋_GB2312" w:cs="仿宋_GB2312"/>
          <w:color w:val="auto"/>
          <w:sz w:val="32"/>
          <w:highlight w:val="none"/>
          <w:lang w:val="en-US" w:eastAsia="zh-CN"/>
        </w:rPr>
      </w:pPr>
      <w:r>
        <w:rPr>
          <w:rFonts w:hint="eastAsia" w:ascii="仿宋_GB2312" w:hAnsi="仿宋_GB2312" w:cs="仿宋_GB2312"/>
          <w:color w:val="auto"/>
          <w:sz w:val="32"/>
          <w:highlight w:val="none"/>
          <w:lang w:val="en-US" w:eastAsia="zh-CN"/>
        </w:rPr>
        <w:t>绩效指标明确性：比较法，比较分析年初编制项目支出绩效目标表是否符合双七原则，是否可衡量。</w:t>
      </w:r>
    </w:p>
    <w:p>
      <w:pPr>
        <w:pBdr>
          <w:top w:val="none" w:color="auto" w:sz="0" w:space="0"/>
          <w:left w:val="none" w:color="auto" w:sz="0" w:space="0"/>
          <w:bottom w:val="none" w:color="auto" w:sz="0" w:space="31"/>
          <w:right w:val="none" w:color="auto" w:sz="0" w:space="2"/>
        </w:pBdr>
        <w:autoSpaceDN w:val="0"/>
        <w:adjustRightInd w:val="0"/>
        <w:spacing w:line="560" w:lineRule="exact"/>
        <w:ind w:firstLine="640" w:firstLineChars="200"/>
        <w:contextualSpacing/>
        <w:rPr>
          <w:rFonts w:hint="eastAsia" w:ascii="仿宋_GB2312" w:hAnsi="仿宋_GB2312" w:cs="仿宋_GB2312"/>
          <w:color w:val="auto"/>
          <w:sz w:val="32"/>
          <w:highlight w:val="none"/>
          <w:lang w:val="en-US" w:eastAsia="zh-CN"/>
        </w:rPr>
      </w:pPr>
      <w:r>
        <w:rPr>
          <w:rFonts w:hint="eastAsia" w:ascii="仿宋_GB2312" w:hAnsi="仿宋_GB2312" w:cs="仿宋_GB2312"/>
          <w:color w:val="auto"/>
          <w:sz w:val="32"/>
          <w:highlight w:val="none"/>
          <w:lang w:val="en-US" w:eastAsia="zh-CN"/>
        </w:rPr>
        <w:t>预算编制科学性</w:t>
      </w:r>
      <w:r>
        <w:rPr>
          <w:rFonts w:hint="eastAsia" w:ascii="仿宋_GB2312" w:hAnsi="仿宋_GB2312" w:cs="仿宋_GB2312"/>
          <w:color w:val="auto"/>
          <w:sz w:val="32"/>
          <w:highlight w:val="none"/>
          <w:lang w:val="en-US" w:eastAsia="zh-CN"/>
        </w:rPr>
        <w:tab/>
      </w:r>
      <w:r>
        <w:rPr>
          <w:rFonts w:hint="eastAsia" w:ascii="仿宋_GB2312" w:hAnsi="仿宋_GB2312" w:cs="仿宋_GB2312"/>
          <w:color w:val="auto"/>
          <w:sz w:val="32"/>
          <w:highlight w:val="none"/>
          <w:lang w:val="en-US" w:eastAsia="zh-CN"/>
        </w:rPr>
        <w:t>成本效益分析法</w:t>
      </w:r>
      <w:r>
        <w:rPr>
          <w:rFonts w:hint="eastAsia" w:ascii="仿宋_GB2312" w:hAnsi="仿宋_GB2312" w:cs="仿宋_GB2312"/>
          <w:color w:val="auto"/>
          <w:sz w:val="32"/>
          <w:highlight w:val="none"/>
          <w:lang w:val="en-US" w:eastAsia="zh-CN"/>
        </w:rPr>
        <w:tab/>
      </w:r>
      <w:r>
        <w:rPr>
          <w:rFonts w:hint="eastAsia" w:ascii="仿宋_GB2312" w:hAnsi="仿宋_GB2312" w:cs="仿宋_GB2312"/>
          <w:color w:val="auto"/>
          <w:sz w:val="32"/>
          <w:highlight w:val="none"/>
          <w:lang w:val="en-US" w:eastAsia="zh-CN"/>
        </w:rPr>
        <w:t>分析在产出一定的情况下，成本取值是否有依据，是否经过询价，是否按照市场最低成本编制。</w:t>
      </w:r>
    </w:p>
    <w:p>
      <w:pPr>
        <w:pBdr>
          <w:top w:val="none" w:color="auto" w:sz="0" w:space="0"/>
          <w:left w:val="none" w:color="auto" w:sz="0" w:space="0"/>
          <w:bottom w:val="none" w:color="auto" w:sz="0" w:space="31"/>
          <w:right w:val="none" w:color="auto" w:sz="0" w:space="2"/>
        </w:pBdr>
        <w:autoSpaceDN w:val="0"/>
        <w:adjustRightInd w:val="0"/>
        <w:spacing w:line="560" w:lineRule="exact"/>
        <w:ind w:firstLine="640" w:firstLineChars="200"/>
        <w:contextualSpacing/>
        <w:rPr>
          <w:rFonts w:hint="eastAsia" w:ascii="仿宋_GB2312" w:hAnsi="仿宋_GB2312" w:cs="仿宋_GB2312"/>
          <w:color w:val="auto"/>
          <w:sz w:val="32"/>
          <w:highlight w:val="none"/>
          <w:lang w:val="en-US" w:eastAsia="zh-CN"/>
        </w:rPr>
      </w:pPr>
      <w:r>
        <w:rPr>
          <w:rFonts w:hint="eastAsia" w:ascii="仿宋_GB2312" w:hAnsi="仿宋_GB2312" w:cs="仿宋_GB2312"/>
          <w:color w:val="auto"/>
          <w:sz w:val="32"/>
          <w:highlight w:val="none"/>
          <w:lang w:val="en-US" w:eastAsia="zh-CN"/>
        </w:rPr>
        <w:t>资金分配合理性：因素分析法，综合分析资金的分配依据是否充分，分配金额是否与项目实施单位需求金额一致，</w:t>
      </w:r>
    </w:p>
    <w:p>
      <w:pPr>
        <w:pBdr>
          <w:top w:val="none" w:color="auto" w:sz="0" w:space="0"/>
          <w:left w:val="none" w:color="auto" w:sz="0" w:space="0"/>
          <w:bottom w:val="none" w:color="auto" w:sz="0" w:space="31"/>
          <w:right w:val="none" w:color="auto" w:sz="0" w:space="2"/>
        </w:pBdr>
        <w:autoSpaceDN w:val="0"/>
        <w:adjustRightInd w:val="0"/>
        <w:spacing w:line="560" w:lineRule="exact"/>
        <w:ind w:firstLine="640" w:firstLineChars="200"/>
        <w:contextualSpacing/>
        <w:rPr>
          <w:rFonts w:hint="eastAsia" w:ascii="仿宋_GB2312" w:hAnsi="仿宋_GB2312" w:cs="仿宋_GB2312"/>
          <w:color w:val="auto"/>
          <w:sz w:val="32"/>
          <w:highlight w:val="none"/>
          <w:lang w:val="en-US" w:eastAsia="zh-CN"/>
        </w:rPr>
      </w:pPr>
      <w:r>
        <w:rPr>
          <w:rFonts w:hint="eastAsia" w:ascii="仿宋_GB2312" w:hAnsi="仿宋_GB2312" w:cs="仿宋_GB2312"/>
          <w:color w:val="auto"/>
          <w:sz w:val="32"/>
          <w:highlight w:val="none"/>
          <w:lang w:val="en-US" w:eastAsia="zh-CN"/>
        </w:rPr>
        <w:t>资金到位率：比较法，资金到位率预期指标值应为100%，通过实际计算，分析实际完成值和预期指标值之间的差距和原因。</w:t>
      </w:r>
    </w:p>
    <w:p>
      <w:pPr>
        <w:pBdr>
          <w:top w:val="none" w:color="auto" w:sz="0" w:space="0"/>
          <w:left w:val="none" w:color="auto" w:sz="0" w:space="0"/>
          <w:bottom w:val="none" w:color="auto" w:sz="0" w:space="31"/>
          <w:right w:val="none" w:color="auto" w:sz="0" w:space="2"/>
        </w:pBdr>
        <w:autoSpaceDN w:val="0"/>
        <w:adjustRightInd w:val="0"/>
        <w:spacing w:line="560" w:lineRule="exact"/>
        <w:ind w:firstLine="640" w:firstLineChars="200"/>
        <w:contextualSpacing/>
        <w:rPr>
          <w:rFonts w:hint="eastAsia" w:ascii="仿宋_GB2312" w:hAnsi="仿宋_GB2312" w:cs="仿宋_GB2312"/>
          <w:color w:val="auto"/>
          <w:sz w:val="32"/>
          <w:highlight w:val="none"/>
          <w:lang w:val="en-US" w:eastAsia="zh-CN"/>
        </w:rPr>
      </w:pPr>
      <w:r>
        <w:rPr>
          <w:rFonts w:hint="eastAsia" w:ascii="仿宋_GB2312" w:hAnsi="仿宋_GB2312" w:cs="仿宋_GB2312"/>
          <w:color w:val="auto"/>
          <w:sz w:val="32"/>
          <w:highlight w:val="none"/>
          <w:lang w:val="en-US" w:eastAsia="zh-CN"/>
        </w:rPr>
        <w:t>预算执行率：比较法，预算执行率预期指标值应为100%，通过实际计算，分析实际完成值和预期指标值之间的差距和原因。</w:t>
      </w:r>
    </w:p>
    <w:p>
      <w:pPr>
        <w:pBdr>
          <w:top w:val="none" w:color="auto" w:sz="0" w:space="0"/>
          <w:left w:val="none" w:color="auto" w:sz="0" w:space="0"/>
          <w:bottom w:val="none" w:color="auto" w:sz="0" w:space="31"/>
          <w:right w:val="none" w:color="auto" w:sz="0" w:space="2"/>
        </w:pBdr>
        <w:autoSpaceDN w:val="0"/>
        <w:adjustRightInd w:val="0"/>
        <w:spacing w:line="560" w:lineRule="exact"/>
        <w:ind w:firstLine="640" w:firstLineChars="200"/>
        <w:contextualSpacing/>
        <w:rPr>
          <w:rFonts w:hint="eastAsia" w:ascii="仿宋_GB2312" w:hAnsi="仿宋_GB2312" w:cs="仿宋_GB2312"/>
          <w:color w:val="auto"/>
          <w:sz w:val="32"/>
          <w:highlight w:val="none"/>
          <w:lang w:val="en-US" w:eastAsia="zh-CN"/>
        </w:rPr>
      </w:pPr>
      <w:r>
        <w:rPr>
          <w:rFonts w:hint="eastAsia" w:ascii="仿宋_GB2312" w:hAnsi="仿宋_GB2312" w:cs="仿宋_GB2312"/>
          <w:color w:val="auto"/>
          <w:sz w:val="32"/>
          <w:highlight w:val="none"/>
          <w:lang w:val="en-US" w:eastAsia="zh-CN"/>
        </w:rPr>
        <w:t>资金使用合规性：文献法、实地勘察法，一是查找资金管理办法，包括专项资金管理办法和单位自有资金管理办法；二是通过查账了解具体开支情况，是否专用专用，是否按照标准支出。</w:t>
      </w:r>
    </w:p>
    <w:p>
      <w:pPr>
        <w:pBdr>
          <w:top w:val="none" w:color="auto" w:sz="0" w:space="0"/>
          <w:left w:val="none" w:color="auto" w:sz="0" w:space="0"/>
          <w:bottom w:val="none" w:color="auto" w:sz="0" w:space="31"/>
          <w:right w:val="none" w:color="auto" w:sz="0" w:space="2"/>
        </w:pBdr>
        <w:autoSpaceDN w:val="0"/>
        <w:adjustRightInd w:val="0"/>
        <w:spacing w:line="560" w:lineRule="exact"/>
        <w:ind w:firstLine="640" w:firstLineChars="200"/>
        <w:contextualSpacing/>
        <w:rPr>
          <w:rFonts w:hint="eastAsia" w:ascii="仿宋_GB2312" w:hAnsi="仿宋_GB2312" w:cs="仿宋_GB2312"/>
          <w:color w:val="auto"/>
          <w:sz w:val="32"/>
          <w:highlight w:val="none"/>
          <w:lang w:val="en-US" w:eastAsia="zh-CN"/>
        </w:rPr>
      </w:pPr>
      <w:r>
        <w:rPr>
          <w:rFonts w:hint="eastAsia" w:ascii="仿宋_GB2312" w:hAnsi="仿宋_GB2312" w:cs="仿宋_GB2312"/>
          <w:color w:val="auto"/>
          <w:sz w:val="32"/>
          <w:highlight w:val="none"/>
          <w:lang w:val="en-US" w:eastAsia="zh-CN"/>
        </w:rPr>
        <w:t>管理制度健全性：文献法、比较法，查阅项目实施人员提供的财务和业务管理制度，将已建立的制度与现行的法律法规和政策要求进行对比，分析项目制度的合法性、合规性、完整性。</w:t>
      </w:r>
    </w:p>
    <w:p>
      <w:pPr>
        <w:pBdr>
          <w:top w:val="none" w:color="auto" w:sz="0" w:space="0"/>
          <w:left w:val="none" w:color="auto" w:sz="0" w:space="0"/>
          <w:bottom w:val="none" w:color="auto" w:sz="0" w:space="31"/>
          <w:right w:val="none" w:color="auto" w:sz="0" w:space="2"/>
        </w:pBdr>
        <w:autoSpaceDN w:val="0"/>
        <w:adjustRightInd w:val="0"/>
        <w:spacing w:line="560" w:lineRule="exact"/>
        <w:ind w:firstLine="640" w:firstLineChars="200"/>
        <w:contextualSpacing/>
        <w:rPr>
          <w:rFonts w:hint="eastAsia" w:ascii="仿宋_GB2312" w:hAnsi="仿宋_GB2312" w:cs="仿宋_GB2312"/>
          <w:color w:val="auto"/>
          <w:sz w:val="32"/>
          <w:highlight w:val="none"/>
          <w:lang w:val="en-US" w:eastAsia="zh-CN"/>
        </w:rPr>
      </w:pPr>
      <w:r>
        <w:rPr>
          <w:rFonts w:hint="eastAsia" w:ascii="仿宋_GB2312" w:hAnsi="仿宋_GB2312" w:cs="仿宋_GB2312"/>
          <w:color w:val="auto"/>
          <w:sz w:val="32"/>
          <w:highlight w:val="none"/>
          <w:lang w:val="en-US" w:eastAsia="zh-CN"/>
        </w:rPr>
        <w:t>制度执行有效性：比较法，结合项目实际实施过程性文件，根据已建设的财务管理制度和项目管理制度综合分析制度执行的有效性。</w:t>
      </w:r>
    </w:p>
    <w:p>
      <w:pPr>
        <w:pBdr>
          <w:top w:val="none" w:color="auto" w:sz="0" w:space="0"/>
          <w:left w:val="none" w:color="auto" w:sz="0" w:space="0"/>
          <w:bottom w:val="none" w:color="auto" w:sz="0" w:space="31"/>
          <w:right w:val="none" w:color="auto" w:sz="0" w:space="2"/>
        </w:pBdr>
        <w:autoSpaceDN w:val="0"/>
        <w:adjustRightInd w:val="0"/>
        <w:spacing w:line="560" w:lineRule="exact"/>
        <w:ind w:firstLine="640" w:firstLineChars="200"/>
        <w:contextualSpacing/>
        <w:rPr>
          <w:rFonts w:hint="eastAsia" w:ascii="仿宋_GB2312" w:hAnsi="仿宋_GB2312" w:cs="仿宋_GB2312"/>
          <w:color w:val="auto"/>
          <w:sz w:val="32"/>
          <w:highlight w:val="none"/>
          <w:lang w:val="en-US" w:eastAsia="zh-CN"/>
        </w:rPr>
      </w:pPr>
      <w:r>
        <w:rPr>
          <w:rFonts w:hint="eastAsia" w:ascii="仿宋_GB2312" w:hAnsi="仿宋_GB2312" w:cs="仿宋_GB2312"/>
          <w:color w:val="auto"/>
          <w:sz w:val="32"/>
          <w:highlight w:val="none"/>
          <w:lang w:val="en-US" w:eastAsia="zh-CN"/>
        </w:rPr>
        <w:t>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p>
    <w:p>
      <w:pPr>
        <w:pBdr>
          <w:top w:val="none" w:color="auto" w:sz="0" w:space="0"/>
          <w:left w:val="none" w:color="auto" w:sz="0" w:space="0"/>
          <w:bottom w:val="none" w:color="auto" w:sz="0" w:space="31"/>
          <w:right w:val="none" w:color="auto" w:sz="0" w:space="2"/>
        </w:pBdr>
        <w:autoSpaceDN w:val="0"/>
        <w:adjustRightInd w:val="0"/>
        <w:spacing w:line="560" w:lineRule="exact"/>
        <w:ind w:firstLine="640" w:firstLineChars="200"/>
        <w:contextualSpacing/>
        <w:rPr>
          <w:rFonts w:hint="eastAsia" w:ascii="仿宋_GB2312" w:hAnsi="仿宋_GB2312" w:cs="仿宋_GB2312"/>
          <w:color w:val="auto"/>
          <w:sz w:val="32"/>
          <w:highlight w:val="none"/>
          <w:lang w:val="en-US" w:eastAsia="zh-CN"/>
        </w:rPr>
      </w:pPr>
      <w:r>
        <w:rPr>
          <w:rFonts w:hint="eastAsia" w:ascii="仿宋_GB2312" w:hAnsi="仿宋_GB2312" w:cs="仿宋_GB2312"/>
          <w:color w:val="auto"/>
          <w:sz w:val="32"/>
          <w:highlight w:val="none"/>
          <w:lang w:val="en-US" w:eastAsia="zh-CN"/>
        </w:rPr>
        <w:t>定性指标：公众评判法，通过问卷及抽样调查等方式评价本项目实施后社会公众对于其实施效果的满意程度。</w:t>
      </w:r>
    </w:p>
    <w:p>
      <w:pPr>
        <w:numPr>
          <w:ilvl w:val="0"/>
          <w:numId w:val="2"/>
        </w:numPr>
        <w:pBdr>
          <w:top w:val="none" w:color="auto" w:sz="0" w:space="0"/>
          <w:left w:val="none" w:color="auto" w:sz="0" w:space="0"/>
          <w:bottom w:val="none" w:color="auto" w:sz="0" w:space="31"/>
          <w:right w:val="none" w:color="auto" w:sz="0" w:space="2"/>
        </w:pBdr>
        <w:autoSpaceDN w:val="0"/>
        <w:adjustRightInd w:val="0"/>
        <w:spacing w:line="560" w:lineRule="exact"/>
        <w:ind w:left="0" w:leftChars="0" w:firstLine="643" w:firstLineChars="200"/>
        <w:contextualSpacing/>
        <w:rPr>
          <w:rFonts w:hint="eastAsia" w:ascii="仿宋_GB2312" w:hAnsi="仿宋_GB2312" w:eastAsia="仿宋_GB2312" w:cs="仿宋_GB2312"/>
          <w:b/>
          <w:color w:val="auto"/>
          <w:sz w:val="32"/>
          <w:szCs w:val="32"/>
          <w:highlight w:val="none"/>
          <w:lang w:val="en-US" w:eastAsia="zh-CN" w:bidi="ar-SA"/>
        </w:rPr>
      </w:pPr>
      <w:r>
        <w:rPr>
          <w:rFonts w:hint="eastAsia" w:ascii="仿宋_GB2312" w:hAnsi="仿宋_GB2312" w:eastAsia="仿宋_GB2312" w:cs="仿宋_GB2312"/>
          <w:b/>
          <w:color w:val="auto"/>
          <w:sz w:val="32"/>
          <w:szCs w:val="32"/>
          <w:highlight w:val="none"/>
          <w:lang w:val="en-US" w:eastAsia="zh-CN" w:bidi="ar-SA"/>
        </w:rPr>
        <w:t>绩效评价标准</w:t>
      </w:r>
    </w:p>
    <w:p>
      <w:pPr>
        <w:keepNext w:val="0"/>
        <w:keepLines w:val="0"/>
        <w:pageBreakBefore w:val="0"/>
        <w:widowControl w:val="0"/>
        <w:numPr>
          <w:ilvl w:val="0"/>
          <w:numId w:val="0"/>
        </w:numPr>
        <w:pBdr>
          <w:top w:val="none" w:color="auto" w:sz="0" w:space="0"/>
          <w:left w:val="none" w:color="auto" w:sz="0" w:space="0"/>
          <w:bottom w:val="none" w:color="auto" w:sz="0" w:space="31"/>
          <w:right w:val="none" w:color="auto" w:sz="0" w:space="2"/>
        </w:pBdr>
        <w:kinsoku/>
        <w:wordWrap/>
        <w:overflowPunct/>
        <w:topLinePunct w:val="0"/>
        <w:autoSpaceDE/>
        <w:autoSpaceDN w:val="0"/>
        <w:bidi w:val="0"/>
        <w:adjustRightInd w:val="0"/>
        <w:snapToGrid/>
        <w:spacing w:line="560" w:lineRule="exact"/>
        <w:ind w:leftChars="0" w:firstLine="640" w:firstLineChars="200"/>
        <w:contextualSpacing/>
        <w:textAlignment w:val="auto"/>
        <w:rPr>
          <w:rFonts w:hint="eastAsia" w:ascii="仿宋_GB2312" w:hAnsi="仿宋_GB2312" w:eastAsia="仿宋_GB2312" w:cs="仿宋_GB2312"/>
          <w:color w:val="auto"/>
          <w:sz w:val="32"/>
          <w:szCs w:val="24"/>
          <w:highlight w:val="none"/>
          <w:lang w:val="en-US" w:eastAsia="zh-CN" w:bidi="ar-SA"/>
        </w:rPr>
      </w:pPr>
      <w:r>
        <w:rPr>
          <w:rFonts w:hint="eastAsia" w:ascii="仿宋_GB2312" w:hAnsi="仿宋_GB2312" w:eastAsia="仿宋_GB2312" w:cs="仿宋_GB2312"/>
          <w:color w:val="auto"/>
          <w:sz w:val="32"/>
          <w:szCs w:val="24"/>
          <w:highlight w:val="none"/>
          <w:lang w:val="en-US" w:eastAsia="zh-CN" w:bidi="ar-SA"/>
        </w:rPr>
        <w:t>绩效评价标准通常包括计划标准、行业标准、历史标准等，用于对绩效指标完成情况进行比较。（1）计划标准。指以预先制定的目标、计划、预算、定额等作为评价标准。（2）行业标准。参照国家公布的行业指标数据制定的评价标准。（3）历史标准。参照历史数据制定的评价标准，为体现绩效改进的原则，在可实现的条件下应当确定相对较高的评价标准。（4）财政部门和预算部门确认或认可的其他标准。</w:t>
      </w:r>
    </w:p>
    <w:p>
      <w:pPr>
        <w:keepNext w:val="0"/>
        <w:keepLines w:val="0"/>
        <w:pageBreakBefore w:val="0"/>
        <w:widowControl w:val="0"/>
        <w:numPr>
          <w:ilvl w:val="0"/>
          <w:numId w:val="0"/>
        </w:numPr>
        <w:pBdr>
          <w:top w:val="none" w:color="auto" w:sz="0" w:space="0"/>
          <w:left w:val="none" w:color="auto" w:sz="0" w:space="0"/>
          <w:bottom w:val="none" w:color="auto" w:sz="0" w:space="31"/>
          <w:right w:val="none" w:color="auto" w:sz="0" w:space="2"/>
        </w:pBdr>
        <w:kinsoku/>
        <w:wordWrap/>
        <w:overflowPunct/>
        <w:topLinePunct w:val="0"/>
        <w:autoSpaceDE/>
        <w:autoSpaceDN w:val="0"/>
        <w:bidi w:val="0"/>
        <w:adjustRightInd w:val="0"/>
        <w:snapToGrid/>
        <w:spacing w:line="560" w:lineRule="exact"/>
        <w:ind w:leftChars="0" w:firstLine="640" w:firstLineChars="200"/>
        <w:contextualSpacing/>
        <w:textAlignment w:val="auto"/>
        <w:rPr>
          <w:rFonts w:hint="eastAsia" w:ascii="仿宋_GB2312" w:hAnsi="仿宋_GB2312" w:eastAsia="仿宋_GB2312" w:cs="仿宋_GB2312"/>
          <w:color w:val="auto"/>
          <w:sz w:val="32"/>
          <w:szCs w:val="24"/>
          <w:highlight w:val="none"/>
          <w:lang w:val="en-US" w:eastAsia="zh-CN" w:bidi="ar-SA"/>
        </w:rPr>
      </w:pPr>
      <w:r>
        <w:rPr>
          <w:rFonts w:hint="eastAsia" w:ascii="仿宋_GB2312" w:hAnsi="仿宋_GB2312" w:cs="仿宋_GB2312"/>
          <w:color w:val="auto"/>
          <w:sz w:val="32"/>
          <w:szCs w:val="24"/>
          <w:highlight w:val="none"/>
          <w:lang w:val="en-US" w:eastAsia="zh-CN" w:bidi="ar-SA"/>
        </w:rPr>
        <w:t>2024年新疆西藏等地区教育特殊补助资金项目（园舍维修资金）</w:t>
      </w:r>
      <w:r>
        <w:rPr>
          <w:rFonts w:hint="eastAsia" w:ascii="仿宋_GB2312" w:hAnsi="仿宋_GB2312" w:eastAsia="仿宋_GB2312" w:cs="仿宋_GB2312"/>
          <w:color w:val="auto"/>
          <w:sz w:val="32"/>
          <w:szCs w:val="24"/>
          <w:highlight w:val="none"/>
          <w:lang w:val="en-US" w:eastAsia="zh-CN" w:bidi="ar-SA"/>
        </w:rPr>
        <w:t>属于建设类项目，</w:t>
      </w:r>
      <w:r>
        <w:rPr>
          <w:rFonts w:hint="eastAsia" w:ascii="仿宋_GB2312" w:hAnsi="仿宋_GB2312" w:eastAsia="仿宋_GB2312" w:cs="仿宋_GB2312"/>
          <w:b w:val="0"/>
          <w:bCs/>
          <w:color w:val="auto"/>
          <w:sz w:val="32"/>
          <w:szCs w:val="24"/>
          <w:highlight w:val="none"/>
          <w:lang w:val="en-US" w:eastAsia="zh-CN" w:bidi="ar-SA"/>
        </w:rPr>
        <w:t>有</w:t>
      </w:r>
      <w:r>
        <w:rPr>
          <w:rFonts w:hint="eastAsia" w:ascii="仿宋_GB2312" w:hAnsi="仿宋_GB2312" w:eastAsia="仿宋_GB2312" w:cs="仿宋_GB2312"/>
          <w:color w:val="auto"/>
          <w:sz w:val="32"/>
          <w:szCs w:val="24"/>
          <w:highlight w:val="none"/>
          <w:lang w:val="en-US" w:eastAsia="zh-CN" w:bidi="ar-SA"/>
        </w:rPr>
        <w:t>相应的行业标准和历史标准，故采用</w:t>
      </w:r>
      <w:r>
        <w:rPr>
          <w:rFonts w:hint="eastAsia" w:ascii="仿宋_GB2312" w:eastAsia="仿宋_GB2312"/>
          <w:color w:val="auto"/>
          <w:sz w:val="32"/>
          <w:highlight w:val="none"/>
        </w:rPr>
        <w:t>计划标准、行业标准、历史标准</w:t>
      </w:r>
      <w:r>
        <w:rPr>
          <w:rFonts w:hint="eastAsia" w:ascii="仿宋_GB2312" w:hAnsi="仿宋_GB2312" w:eastAsia="仿宋_GB2312" w:cs="仿宋_GB2312"/>
          <w:color w:val="auto"/>
          <w:sz w:val="32"/>
          <w:szCs w:val="24"/>
          <w:highlight w:val="none"/>
          <w:lang w:val="en-US" w:eastAsia="zh-CN" w:bidi="ar-SA"/>
        </w:rPr>
        <w:t>评价该项目。</w:t>
      </w:r>
    </w:p>
    <w:p>
      <w:pPr>
        <w:keepNext w:val="0"/>
        <w:keepLines w:val="0"/>
        <w:pageBreakBefore w:val="0"/>
        <w:widowControl w:val="0"/>
        <w:numPr>
          <w:ilvl w:val="0"/>
          <w:numId w:val="0"/>
        </w:numPr>
        <w:pBdr>
          <w:top w:val="none" w:color="auto" w:sz="0" w:space="0"/>
          <w:left w:val="none" w:color="auto" w:sz="0" w:space="0"/>
          <w:bottom w:val="none" w:color="auto" w:sz="0" w:space="31"/>
          <w:right w:val="none" w:color="auto" w:sz="0" w:space="2"/>
        </w:pBdr>
        <w:kinsoku/>
        <w:wordWrap/>
        <w:overflowPunct/>
        <w:topLinePunct w:val="0"/>
        <w:autoSpaceDE/>
        <w:autoSpaceDN w:val="0"/>
        <w:bidi w:val="0"/>
        <w:adjustRightInd w:val="0"/>
        <w:snapToGrid/>
        <w:spacing w:line="560" w:lineRule="exact"/>
        <w:ind w:firstLine="643" w:firstLineChars="200"/>
        <w:contextualSpacing/>
        <w:textAlignment w:val="auto"/>
        <w:rPr>
          <w:rFonts w:hint="eastAsia" w:ascii="楷体" w:hAnsi="楷体" w:eastAsia="楷体" w:cs="仿宋_GB2312"/>
          <w:b/>
          <w:bCs/>
          <w:color w:val="auto"/>
          <w:sz w:val="32"/>
          <w:szCs w:val="24"/>
          <w:highlight w:val="none"/>
          <w:lang w:val="en-US" w:eastAsia="zh-CN" w:bidi="ar-SA"/>
        </w:rPr>
      </w:pPr>
      <w:r>
        <w:rPr>
          <w:rFonts w:hint="eastAsia" w:ascii="楷体" w:hAnsi="楷体" w:eastAsia="楷体" w:cs="仿宋_GB2312"/>
          <w:b/>
          <w:bCs/>
          <w:color w:val="auto"/>
          <w:sz w:val="32"/>
          <w:szCs w:val="24"/>
          <w:highlight w:val="none"/>
          <w:lang w:val="en-US" w:eastAsia="zh-CN" w:bidi="ar-SA"/>
        </w:rPr>
        <w:t>（三）绩效评价工作过程。</w:t>
      </w:r>
    </w:p>
    <w:p>
      <w:pPr>
        <w:keepNext w:val="0"/>
        <w:keepLines w:val="0"/>
        <w:pageBreakBefore w:val="0"/>
        <w:widowControl w:val="0"/>
        <w:numPr>
          <w:ilvl w:val="0"/>
          <w:numId w:val="0"/>
        </w:numPr>
        <w:pBdr>
          <w:top w:val="none" w:color="auto" w:sz="0" w:space="0"/>
          <w:left w:val="none" w:color="auto" w:sz="0" w:space="0"/>
          <w:bottom w:val="none" w:color="auto" w:sz="0" w:space="31"/>
          <w:right w:val="none" w:color="auto" w:sz="0" w:space="2"/>
        </w:pBdr>
        <w:kinsoku/>
        <w:wordWrap/>
        <w:overflowPunct/>
        <w:topLinePunct w:val="0"/>
        <w:autoSpaceDE/>
        <w:autoSpaceDN w:val="0"/>
        <w:bidi w:val="0"/>
        <w:adjustRightInd w:val="0"/>
        <w:snapToGrid/>
        <w:spacing w:line="560" w:lineRule="exact"/>
        <w:ind w:left="600" w:leftChars="200"/>
        <w:contextualSpacing/>
        <w:textAlignment w:val="auto"/>
        <w:rPr>
          <w:rFonts w:hint="eastAsia" w:ascii="仿宋_GB2312" w:hAnsi="仿宋_GB2312" w:eastAsia="仿宋_GB2312" w:cs="仿宋_GB2312"/>
          <w:b/>
          <w:color w:val="auto"/>
          <w:sz w:val="32"/>
          <w:szCs w:val="24"/>
          <w:highlight w:val="none"/>
          <w:lang w:val="en-US" w:eastAsia="zh-CN" w:bidi="ar-SA"/>
        </w:rPr>
      </w:pPr>
      <w:r>
        <w:rPr>
          <w:rFonts w:hint="eastAsia" w:ascii="仿宋_GB2312" w:hAnsi="仿宋_GB2312" w:eastAsia="仿宋_GB2312" w:cs="仿宋_GB2312"/>
          <w:b/>
          <w:color w:val="auto"/>
          <w:sz w:val="32"/>
          <w:szCs w:val="24"/>
          <w:highlight w:val="none"/>
          <w:lang w:val="en-US" w:eastAsia="zh-CN" w:bidi="ar-SA"/>
        </w:rPr>
        <w:t>1．前期准备</w:t>
      </w:r>
    </w:p>
    <w:p>
      <w:pPr>
        <w:pStyle w:val="30"/>
        <w:keepNext w:val="0"/>
        <w:keepLines w:val="0"/>
        <w:pageBreakBefore w:val="0"/>
        <w:widowControl w:val="0"/>
        <w:numPr>
          <w:ilvl w:val="0"/>
          <w:numId w:val="0"/>
        </w:numPr>
        <w:kinsoku/>
        <w:wordWrap/>
        <w:overflowPunct/>
        <w:topLinePunct w:val="0"/>
        <w:autoSpaceDE/>
        <w:bidi w:val="0"/>
        <w:snapToGrid/>
        <w:spacing w:before="0" w:after="0" w:line="560" w:lineRule="exact"/>
        <w:ind w:firstLine="640" w:firstLineChars="200"/>
        <w:textAlignment w:val="auto"/>
        <w:outlineLvl w:val="9"/>
        <w:rPr>
          <w:b w:val="0"/>
          <w:bCs w:val="0"/>
          <w:color w:val="auto"/>
          <w:highlight w:val="none"/>
        </w:rPr>
      </w:pPr>
      <w:r>
        <w:rPr>
          <w:rFonts w:hint="eastAsia"/>
          <w:b w:val="0"/>
          <w:bCs w:val="0"/>
          <w:color w:val="auto"/>
          <w:highlight w:val="none"/>
        </w:rPr>
        <w:t>本次评价成立了评价工作组，成员如下：</w:t>
      </w:r>
    </w:p>
    <w:tbl>
      <w:tblPr>
        <w:tblStyle w:val="12"/>
        <w:tblW w:w="829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68"/>
        <w:gridCol w:w="1827"/>
        <w:gridCol w:w="39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97" w:hRule="atLeast"/>
          <w:jc w:val="center"/>
        </w:trPr>
        <w:tc>
          <w:tcPr>
            <w:tcW w:w="2568" w:type="dxa"/>
            <w:vAlign w:val="center"/>
          </w:tcPr>
          <w:p>
            <w:pPr>
              <w:pStyle w:val="30"/>
              <w:keepNext w:val="0"/>
              <w:keepLines w:val="0"/>
              <w:numPr>
                <w:ilvl w:val="0"/>
                <w:numId w:val="0"/>
              </w:numPr>
              <w:spacing w:line="560" w:lineRule="exact"/>
              <w:jc w:val="center"/>
              <w:rPr>
                <w:b w:val="0"/>
                <w:bCs w:val="0"/>
                <w:color w:val="auto"/>
                <w:highlight w:val="none"/>
              </w:rPr>
            </w:pPr>
            <w:r>
              <w:rPr>
                <w:rFonts w:hint="eastAsia"/>
                <w:b w:val="0"/>
                <w:bCs w:val="0"/>
                <w:color w:val="auto"/>
                <w:highlight w:val="none"/>
              </w:rPr>
              <w:t>评价人</w:t>
            </w:r>
          </w:p>
        </w:tc>
        <w:tc>
          <w:tcPr>
            <w:tcW w:w="1827" w:type="dxa"/>
            <w:vAlign w:val="center"/>
          </w:tcPr>
          <w:p>
            <w:pPr>
              <w:pStyle w:val="30"/>
              <w:keepNext w:val="0"/>
              <w:keepLines w:val="0"/>
              <w:numPr>
                <w:ilvl w:val="0"/>
                <w:numId w:val="0"/>
              </w:numPr>
              <w:spacing w:line="560" w:lineRule="exact"/>
              <w:jc w:val="center"/>
              <w:rPr>
                <w:rFonts w:hint="eastAsia" w:eastAsia="仿宋_GB2312"/>
                <w:b w:val="0"/>
                <w:bCs w:val="0"/>
                <w:color w:val="auto"/>
                <w:highlight w:val="none"/>
                <w:lang w:eastAsia="zh-CN"/>
              </w:rPr>
            </w:pPr>
            <w:r>
              <w:rPr>
                <w:rFonts w:hint="eastAsia"/>
                <w:b w:val="0"/>
                <w:bCs w:val="0"/>
                <w:color w:val="auto"/>
                <w:highlight w:val="none"/>
              </w:rPr>
              <w:t>职</w:t>
            </w:r>
            <w:r>
              <w:rPr>
                <w:rFonts w:hint="eastAsia"/>
                <w:b w:val="0"/>
                <w:bCs w:val="0"/>
                <w:color w:val="auto"/>
                <w:highlight w:val="none"/>
                <w:lang w:val="en-US" w:eastAsia="zh-CN"/>
              </w:rPr>
              <w:t>务</w:t>
            </w:r>
          </w:p>
        </w:tc>
        <w:tc>
          <w:tcPr>
            <w:tcW w:w="3901" w:type="dxa"/>
            <w:vAlign w:val="center"/>
          </w:tcPr>
          <w:p>
            <w:pPr>
              <w:pStyle w:val="30"/>
              <w:keepNext w:val="0"/>
              <w:keepLines w:val="0"/>
              <w:numPr>
                <w:ilvl w:val="0"/>
                <w:numId w:val="0"/>
              </w:numPr>
              <w:spacing w:line="560" w:lineRule="exact"/>
              <w:jc w:val="center"/>
              <w:rPr>
                <w:rFonts w:hint="eastAsia" w:eastAsia="仿宋_GB2312"/>
                <w:b w:val="0"/>
                <w:bCs w:val="0"/>
                <w:color w:val="auto"/>
                <w:highlight w:val="none"/>
                <w:lang w:eastAsia="zh-CN"/>
              </w:rPr>
            </w:pPr>
            <w:r>
              <w:rPr>
                <w:rFonts w:hint="eastAsia"/>
                <w:b w:val="0"/>
                <w:bCs w:val="0"/>
                <w:color w:val="auto"/>
                <w:highlight w:val="none"/>
              </w:rPr>
              <w:t>职</w:t>
            </w:r>
            <w:r>
              <w:rPr>
                <w:rFonts w:hint="eastAsia"/>
                <w:b w:val="0"/>
                <w:bCs w:val="0"/>
                <w:color w:val="auto"/>
                <w:highlight w:val="none"/>
                <w:lang w:val="en-US" w:eastAsia="zh-CN"/>
              </w:rPr>
              <w:t>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2568" w:type="dxa"/>
            <w:vAlign w:val="center"/>
          </w:tcPr>
          <w:p>
            <w:pPr>
              <w:pStyle w:val="30"/>
              <w:keepNext w:val="0"/>
              <w:keepLines w:val="0"/>
              <w:numPr>
                <w:ilvl w:val="0"/>
                <w:numId w:val="0"/>
              </w:numPr>
              <w:spacing w:line="560" w:lineRule="exact"/>
              <w:jc w:val="center"/>
              <w:rPr>
                <w:b w:val="0"/>
                <w:bCs w:val="0"/>
                <w:color w:val="auto"/>
                <w:highlight w:val="none"/>
              </w:rPr>
            </w:pPr>
            <w:r>
              <w:rPr>
                <w:rFonts w:hint="eastAsia"/>
                <w:b w:val="0"/>
                <w:bCs w:val="0"/>
                <w:color w:val="auto"/>
                <w:highlight w:val="none"/>
              </w:rPr>
              <w:t>阿力木江·艾尔肯</w:t>
            </w:r>
          </w:p>
        </w:tc>
        <w:tc>
          <w:tcPr>
            <w:tcW w:w="1827" w:type="dxa"/>
            <w:vAlign w:val="center"/>
          </w:tcPr>
          <w:p>
            <w:pPr>
              <w:pStyle w:val="30"/>
              <w:keepNext w:val="0"/>
              <w:keepLines w:val="0"/>
              <w:numPr>
                <w:ilvl w:val="0"/>
                <w:numId w:val="0"/>
              </w:numPr>
              <w:spacing w:line="560" w:lineRule="exact"/>
              <w:jc w:val="center"/>
              <w:rPr>
                <w:b w:val="0"/>
                <w:bCs w:val="0"/>
                <w:color w:val="auto"/>
                <w:highlight w:val="none"/>
              </w:rPr>
            </w:pPr>
            <w:r>
              <w:rPr>
                <w:rFonts w:hint="eastAsia"/>
                <w:b w:val="0"/>
                <w:bCs w:val="0"/>
                <w:color w:val="auto"/>
                <w:highlight w:val="none"/>
              </w:rPr>
              <w:t>评价组组长</w:t>
            </w:r>
          </w:p>
        </w:tc>
        <w:tc>
          <w:tcPr>
            <w:tcW w:w="3901" w:type="dxa"/>
            <w:vAlign w:val="center"/>
          </w:tcPr>
          <w:p>
            <w:pPr>
              <w:pStyle w:val="30"/>
              <w:keepNext w:val="0"/>
              <w:keepLines w:val="0"/>
              <w:numPr>
                <w:ilvl w:val="0"/>
                <w:numId w:val="0"/>
              </w:numPr>
              <w:spacing w:line="560" w:lineRule="exact"/>
              <w:jc w:val="center"/>
              <w:rPr>
                <w:rFonts w:hint="default" w:eastAsia="仿宋_GB2312"/>
                <w:b w:val="0"/>
                <w:bCs w:val="0"/>
                <w:color w:val="auto"/>
                <w:highlight w:val="none"/>
                <w:lang w:val="en-US" w:eastAsia="zh-CN"/>
              </w:rPr>
            </w:pPr>
            <w:r>
              <w:rPr>
                <w:rFonts w:hint="eastAsia"/>
                <w:b w:val="0"/>
                <w:bCs w:val="0"/>
                <w:color w:val="auto"/>
                <w:highlight w:val="none"/>
                <w:lang w:val="en-US" w:eastAsia="zh-CN"/>
              </w:rPr>
              <w:t>组织安排绩效评价工作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2568" w:type="dxa"/>
            <w:vAlign w:val="center"/>
          </w:tcPr>
          <w:p>
            <w:pPr>
              <w:pStyle w:val="30"/>
              <w:keepNext w:val="0"/>
              <w:keepLines w:val="0"/>
              <w:numPr>
                <w:ilvl w:val="0"/>
                <w:numId w:val="0"/>
              </w:numPr>
              <w:spacing w:line="560" w:lineRule="exact"/>
              <w:jc w:val="center"/>
              <w:rPr>
                <w:b w:val="0"/>
                <w:bCs w:val="0"/>
                <w:color w:val="auto"/>
                <w:highlight w:val="none"/>
              </w:rPr>
            </w:pPr>
            <w:r>
              <w:rPr>
                <w:rFonts w:hint="eastAsia"/>
                <w:b w:val="0"/>
                <w:bCs w:val="0"/>
                <w:color w:val="auto"/>
                <w:highlight w:val="none"/>
              </w:rPr>
              <w:t>沙小龙</w:t>
            </w:r>
          </w:p>
        </w:tc>
        <w:tc>
          <w:tcPr>
            <w:tcW w:w="1827" w:type="dxa"/>
            <w:vAlign w:val="center"/>
          </w:tcPr>
          <w:p>
            <w:pPr>
              <w:pStyle w:val="30"/>
              <w:keepNext w:val="0"/>
              <w:keepLines w:val="0"/>
              <w:numPr>
                <w:ilvl w:val="0"/>
                <w:numId w:val="0"/>
              </w:numPr>
              <w:spacing w:line="560" w:lineRule="exact"/>
              <w:jc w:val="center"/>
              <w:rPr>
                <w:b w:val="0"/>
                <w:bCs w:val="0"/>
                <w:color w:val="auto"/>
                <w:highlight w:val="none"/>
              </w:rPr>
            </w:pPr>
            <w:r>
              <w:rPr>
                <w:rFonts w:hint="eastAsia"/>
                <w:b w:val="0"/>
                <w:bCs w:val="0"/>
                <w:color w:val="auto"/>
                <w:highlight w:val="none"/>
              </w:rPr>
              <w:t>评价组成员</w:t>
            </w:r>
          </w:p>
        </w:tc>
        <w:tc>
          <w:tcPr>
            <w:tcW w:w="3901" w:type="dxa"/>
            <w:vAlign w:val="center"/>
          </w:tcPr>
          <w:p>
            <w:pPr>
              <w:pStyle w:val="30"/>
              <w:keepNext w:val="0"/>
              <w:keepLines w:val="0"/>
              <w:numPr>
                <w:ilvl w:val="0"/>
                <w:numId w:val="0"/>
              </w:numPr>
              <w:spacing w:line="560" w:lineRule="exact"/>
              <w:jc w:val="center"/>
              <w:rPr>
                <w:rFonts w:hint="default" w:eastAsia="仿宋_GB2312"/>
                <w:b w:val="0"/>
                <w:bCs w:val="0"/>
                <w:color w:val="auto"/>
                <w:highlight w:val="none"/>
                <w:lang w:val="en-US" w:eastAsia="zh-CN"/>
              </w:rPr>
            </w:pPr>
            <w:r>
              <w:rPr>
                <w:rFonts w:hint="eastAsia"/>
                <w:b w:val="0"/>
                <w:bCs w:val="0"/>
                <w:color w:val="auto"/>
                <w:highlight w:val="none"/>
                <w:lang w:val="en-US" w:eastAsia="zh-CN"/>
              </w:rPr>
              <w:t>资料整理及信息汇总工作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2568" w:type="dxa"/>
            <w:vAlign w:val="center"/>
          </w:tcPr>
          <w:p>
            <w:pPr>
              <w:pStyle w:val="30"/>
              <w:keepNext w:val="0"/>
              <w:keepLines w:val="0"/>
              <w:numPr>
                <w:ilvl w:val="0"/>
                <w:numId w:val="0"/>
              </w:numPr>
              <w:spacing w:line="560" w:lineRule="exact"/>
              <w:jc w:val="center"/>
              <w:rPr>
                <w:b w:val="0"/>
                <w:bCs w:val="0"/>
                <w:color w:val="auto"/>
                <w:highlight w:val="none"/>
              </w:rPr>
            </w:pPr>
            <w:r>
              <w:rPr>
                <w:rFonts w:hint="eastAsia"/>
                <w:b w:val="0"/>
                <w:bCs w:val="0"/>
                <w:color w:val="auto"/>
                <w:highlight w:val="none"/>
              </w:rPr>
              <w:t>凯迪日耶</w:t>
            </w:r>
          </w:p>
        </w:tc>
        <w:tc>
          <w:tcPr>
            <w:tcW w:w="1827" w:type="dxa"/>
            <w:vAlign w:val="center"/>
          </w:tcPr>
          <w:p>
            <w:pPr>
              <w:pStyle w:val="30"/>
              <w:keepNext w:val="0"/>
              <w:keepLines w:val="0"/>
              <w:numPr>
                <w:ilvl w:val="0"/>
                <w:numId w:val="0"/>
              </w:numPr>
              <w:spacing w:line="560" w:lineRule="exact"/>
              <w:jc w:val="center"/>
              <w:rPr>
                <w:b w:val="0"/>
                <w:bCs w:val="0"/>
                <w:color w:val="auto"/>
                <w:highlight w:val="none"/>
              </w:rPr>
            </w:pPr>
            <w:r>
              <w:rPr>
                <w:rFonts w:hint="eastAsia"/>
                <w:b w:val="0"/>
                <w:bCs w:val="0"/>
                <w:color w:val="auto"/>
                <w:highlight w:val="none"/>
              </w:rPr>
              <w:t>评价组成员</w:t>
            </w:r>
          </w:p>
        </w:tc>
        <w:tc>
          <w:tcPr>
            <w:tcW w:w="3901" w:type="dxa"/>
            <w:vAlign w:val="center"/>
          </w:tcPr>
          <w:p>
            <w:pPr>
              <w:pStyle w:val="30"/>
              <w:keepNext w:val="0"/>
              <w:keepLines w:val="0"/>
              <w:numPr>
                <w:ilvl w:val="0"/>
                <w:numId w:val="0"/>
              </w:numPr>
              <w:spacing w:line="560" w:lineRule="exact"/>
              <w:jc w:val="center"/>
              <w:rPr>
                <w:rFonts w:hint="default" w:eastAsia="仿宋_GB2312"/>
                <w:b w:val="0"/>
                <w:bCs w:val="0"/>
                <w:color w:val="auto"/>
                <w:highlight w:val="none"/>
                <w:lang w:val="en-US" w:eastAsia="zh-CN"/>
              </w:rPr>
            </w:pPr>
            <w:r>
              <w:rPr>
                <w:rFonts w:hint="eastAsia"/>
                <w:b w:val="0"/>
                <w:bCs w:val="0"/>
                <w:color w:val="auto"/>
                <w:highlight w:val="none"/>
                <w:lang w:val="en-US" w:eastAsia="zh-CN"/>
              </w:rPr>
              <w:t>出具项目绩效评价报告</w:t>
            </w:r>
          </w:p>
        </w:tc>
      </w:tr>
    </w:tbl>
    <w:p>
      <w:pPr>
        <w:pStyle w:val="29"/>
        <w:tabs>
          <w:tab w:val="left" w:pos="1123"/>
        </w:tabs>
        <w:spacing w:line="560" w:lineRule="exact"/>
        <w:ind w:firstLine="640"/>
        <w:rPr>
          <w:rFonts w:hint="eastAsia" w:ascii="仿宋_GB2312" w:hAnsi="仿宋_GB2312" w:eastAsia="仿宋_GB2312" w:cs="仿宋_GB2312"/>
          <w:color w:val="auto"/>
          <w:sz w:val="32"/>
          <w:szCs w:val="24"/>
          <w:highlight w:val="none"/>
          <w:lang w:val="en-US" w:eastAsia="zh-CN" w:bidi="ar-SA"/>
        </w:rPr>
      </w:pPr>
      <w:r>
        <w:rPr>
          <w:rFonts w:hint="eastAsia" w:ascii="仿宋_GB2312" w:hAnsi="仿宋_GB2312" w:eastAsia="仿宋_GB2312" w:cs="仿宋_GB2312"/>
          <w:color w:val="auto"/>
          <w:sz w:val="32"/>
          <w:szCs w:val="24"/>
          <w:highlight w:val="none"/>
          <w:lang w:val="en-US" w:eastAsia="zh-CN" w:bidi="ar-SA"/>
        </w:rPr>
        <w:t>2025年3月20日开始前期准备工作。评价组通过对评价对象前期调研，确定了评价的目的、方法以及评价的原则，根据2024年新疆西藏等地区教育特殊补助资金项目（园舍维修资金）的内容和特征制定了评价指标体系及评价标准以及评价实施方案，修正并确定所需资料清单，最终确定实施方案。</w:t>
      </w:r>
    </w:p>
    <w:p>
      <w:pPr>
        <w:pStyle w:val="29"/>
        <w:tabs>
          <w:tab w:val="left" w:pos="1123"/>
        </w:tabs>
        <w:spacing w:line="560" w:lineRule="exact"/>
        <w:ind w:firstLine="640"/>
        <w:rPr>
          <w:rFonts w:hint="eastAsia" w:ascii="仿宋_GB2312" w:hAnsi="仿宋_GB2312" w:eastAsia="仿宋_GB2312" w:cs="仿宋_GB2312"/>
          <w:b/>
          <w:color w:val="auto"/>
          <w:sz w:val="32"/>
          <w:szCs w:val="24"/>
          <w:highlight w:val="none"/>
          <w:lang w:val="en-US" w:eastAsia="zh-CN" w:bidi="ar-SA"/>
        </w:rPr>
      </w:pPr>
      <w:r>
        <w:rPr>
          <w:rFonts w:hint="eastAsia" w:ascii="仿宋_GB2312" w:hAnsi="仿宋_GB2312" w:eastAsia="仿宋_GB2312" w:cs="仿宋_GB2312"/>
          <w:b/>
          <w:color w:val="auto"/>
          <w:sz w:val="32"/>
          <w:szCs w:val="24"/>
          <w:highlight w:val="none"/>
          <w:lang w:val="en-US" w:eastAsia="zh-CN" w:bidi="ar-SA"/>
        </w:rPr>
        <w:t>2．组织实施</w:t>
      </w:r>
    </w:p>
    <w:p>
      <w:pPr>
        <w:pStyle w:val="29"/>
        <w:tabs>
          <w:tab w:val="left" w:pos="1123"/>
        </w:tabs>
        <w:spacing w:line="560" w:lineRule="exact"/>
        <w:ind w:firstLine="640"/>
        <w:rPr>
          <w:rFonts w:hint="eastAsia" w:ascii="仿宋_GB2312" w:hAnsi="仿宋_GB2312" w:eastAsia="仿宋_GB2312" w:cs="仿宋_GB2312"/>
          <w:color w:val="auto"/>
          <w:sz w:val="32"/>
          <w:szCs w:val="24"/>
          <w:highlight w:val="none"/>
          <w:lang w:val="en-US" w:eastAsia="zh-CN" w:bidi="ar-SA"/>
        </w:rPr>
      </w:pPr>
      <w:r>
        <w:rPr>
          <w:rFonts w:hint="eastAsia" w:ascii="仿宋_GB2312" w:hAnsi="仿宋_GB2312" w:eastAsia="仿宋_GB2312" w:cs="仿宋_GB2312"/>
          <w:color w:val="auto"/>
          <w:sz w:val="32"/>
          <w:szCs w:val="24"/>
          <w:highlight w:val="none"/>
          <w:lang w:val="en-US" w:eastAsia="zh-CN" w:bidi="ar-SA"/>
        </w:rPr>
        <w:t>2025年4月1日-4月20日，评价工作进入实施阶段。数据采集方面，评价组整理单位前期提交的各项资料，与项目实施负责人沟通，了解部门预算资金的内容、操作流程、管理机制、资金使用方向等情况；进行项目支出部门评价各项工作采集，了解项目设置背景及资金使用等情况。</w:t>
      </w:r>
    </w:p>
    <w:p>
      <w:pPr>
        <w:pStyle w:val="29"/>
        <w:tabs>
          <w:tab w:val="left" w:pos="1123"/>
        </w:tabs>
        <w:spacing w:line="560" w:lineRule="exact"/>
        <w:ind w:firstLine="640"/>
        <w:rPr>
          <w:rFonts w:hint="eastAsia" w:ascii="仿宋_GB2312" w:hAnsi="仿宋_GB2312" w:eastAsia="仿宋_GB2312" w:cs="仿宋_GB2312"/>
          <w:b/>
          <w:color w:val="auto"/>
          <w:sz w:val="32"/>
          <w:szCs w:val="32"/>
          <w:highlight w:val="none"/>
          <w:lang w:val="en-US" w:eastAsia="zh-CN" w:bidi="ar-SA"/>
        </w:rPr>
      </w:pPr>
      <w:r>
        <w:rPr>
          <w:rFonts w:hint="eastAsia" w:ascii="仿宋_GB2312" w:hAnsi="仿宋_GB2312" w:eastAsia="仿宋_GB2312" w:cs="仿宋_GB2312"/>
          <w:b/>
          <w:color w:val="auto"/>
          <w:sz w:val="32"/>
          <w:szCs w:val="32"/>
          <w:highlight w:val="none"/>
          <w:lang w:val="en-US" w:eastAsia="zh-CN" w:bidi="ar-SA"/>
        </w:rPr>
        <w:t>3．分析评价</w:t>
      </w:r>
    </w:p>
    <w:p>
      <w:pPr>
        <w:pStyle w:val="29"/>
        <w:tabs>
          <w:tab w:val="left" w:pos="1123"/>
        </w:tabs>
        <w:spacing w:line="560" w:lineRule="exact"/>
        <w:ind w:firstLine="640"/>
        <w:rPr>
          <w:rFonts w:hint="eastAsia" w:ascii="仿宋_GB2312" w:hAnsi="仿宋_GB2312" w:eastAsia="仿宋_GB2312" w:cs="仿宋_GB2312"/>
          <w:color w:val="auto"/>
          <w:sz w:val="32"/>
          <w:szCs w:val="32"/>
          <w:highlight w:val="none"/>
          <w:lang w:val="en-US" w:eastAsia="zh-CN" w:bidi="ar-SA"/>
        </w:rPr>
      </w:pPr>
      <w:r>
        <w:rPr>
          <w:rFonts w:hint="eastAsia" w:ascii="仿宋_GB2312" w:hAnsi="仿宋_GB2312" w:eastAsia="仿宋_GB2312" w:cs="仿宋_GB2312"/>
          <w:color w:val="auto"/>
          <w:sz w:val="32"/>
          <w:szCs w:val="32"/>
          <w:highlight w:val="none"/>
          <w:lang w:val="en-US" w:eastAsia="zh-CN" w:bidi="ar-SA"/>
        </w:rPr>
        <w:t>2025年</w:t>
      </w:r>
      <w:r>
        <w:rPr>
          <w:rFonts w:hint="eastAsia" w:ascii="仿宋_GB2312" w:hAnsi="仿宋_GB2312" w:eastAsia="仿宋_GB2312" w:cs="仿宋_GB2312"/>
          <w:color w:val="auto"/>
          <w:sz w:val="32"/>
          <w:szCs w:val="24"/>
          <w:highlight w:val="none"/>
          <w:lang w:val="en-US" w:eastAsia="zh-CN" w:bidi="ar-SA"/>
        </w:rPr>
        <w:t>4</w:t>
      </w:r>
      <w:r>
        <w:rPr>
          <w:rFonts w:hint="eastAsia" w:ascii="仿宋_GB2312" w:hAnsi="仿宋_GB2312" w:eastAsia="仿宋_GB2312" w:cs="仿宋_GB2312"/>
          <w:color w:val="auto"/>
          <w:sz w:val="32"/>
          <w:szCs w:val="32"/>
          <w:highlight w:val="none"/>
          <w:lang w:val="en-US" w:eastAsia="zh-CN" w:bidi="ar-SA"/>
        </w:rPr>
        <w:t>月</w:t>
      </w:r>
      <w:r>
        <w:rPr>
          <w:rFonts w:hint="eastAsia" w:ascii="仿宋_GB2312" w:hAnsi="仿宋_GB2312" w:eastAsia="仿宋_GB2312" w:cs="仿宋_GB2312"/>
          <w:color w:val="auto"/>
          <w:sz w:val="32"/>
          <w:szCs w:val="24"/>
          <w:highlight w:val="none"/>
          <w:lang w:val="en-US" w:eastAsia="zh-CN" w:bidi="ar-SA"/>
        </w:rPr>
        <w:t>21</w:t>
      </w:r>
      <w:r>
        <w:rPr>
          <w:rFonts w:hint="eastAsia" w:ascii="仿宋_GB2312" w:hAnsi="仿宋_GB2312" w:eastAsia="仿宋_GB2312" w:cs="仿宋_GB2312"/>
          <w:color w:val="auto"/>
          <w:sz w:val="32"/>
          <w:szCs w:val="32"/>
          <w:highlight w:val="none"/>
          <w:lang w:val="en-US" w:eastAsia="zh-CN" w:bidi="ar-SA"/>
        </w:rPr>
        <w:t>日-</w:t>
      </w:r>
      <w:r>
        <w:rPr>
          <w:rFonts w:hint="eastAsia" w:ascii="仿宋_GB2312" w:hAnsi="仿宋_GB2312" w:eastAsia="仿宋_GB2312" w:cs="仿宋_GB2312"/>
          <w:color w:val="auto"/>
          <w:sz w:val="32"/>
          <w:szCs w:val="24"/>
          <w:highlight w:val="none"/>
          <w:lang w:val="en-US" w:eastAsia="zh-CN" w:bidi="ar-SA"/>
        </w:rPr>
        <w:t>5</w:t>
      </w:r>
      <w:r>
        <w:rPr>
          <w:rFonts w:hint="eastAsia" w:ascii="仿宋_GB2312" w:hAnsi="仿宋_GB2312" w:eastAsia="仿宋_GB2312" w:cs="仿宋_GB2312"/>
          <w:color w:val="auto"/>
          <w:sz w:val="32"/>
          <w:szCs w:val="32"/>
          <w:highlight w:val="none"/>
          <w:lang w:val="en-US" w:eastAsia="zh-CN" w:bidi="ar-SA"/>
        </w:rPr>
        <w:t>月20日，评价组按照绩效评价的原则和规范，对取得的资料进行审查核实，对采集的数据进行分析，按照绩效评价指标评分表逐项进行打分、分析，汇总各方评价结果，综合分析并形成评价结论。</w:t>
      </w:r>
    </w:p>
    <w:p>
      <w:pPr>
        <w:pStyle w:val="29"/>
        <w:tabs>
          <w:tab w:val="left" w:pos="1123"/>
        </w:tabs>
        <w:spacing w:line="560" w:lineRule="exact"/>
        <w:ind w:firstLine="640"/>
        <w:rPr>
          <w:rFonts w:hint="eastAsia" w:ascii="黑体" w:hAnsi="黑体" w:eastAsia="黑体" w:cs="仿宋_GB2312"/>
          <w:color w:val="auto"/>
          <w:sz w:val="32"/>
          <w:szCs w:val="32"/>
          <w:highlight w:val="none"/>
          <w:lang w:val="en-US" w:eastAsia="zh-CN" w:bidi="ar-SA"/>
        </w:rPr>
      </w:pPr>
      <w:r>
        <w:rPr>
          <w:rFonts w:hint="eastAsia" w:ascii="黑体" w:hAnsi="黑体" w:eastAsia="黑体" w:cs="仿宋_GB2312"/>
          <w:color w:val="auto"/>
          <w:sz w:val="32"/>
          <w:szCs w:val="32"/>
          <w:highlight w:val="none"/>
          <w:lang w:val="en-US" w:eastAsia="zh-CN" w:bidi="ar-SA"/>
        </w:rPr>
        <w:t>三、综合评价情况及评价结论</w:t>
      </w:r>
    </w:p>
    <w:p>
      <w:pPr>
        <w:pStyle w:val="29"/>
        <w:tabs>
          <w:tab w:val="left" w:pos="1123"/>
        </w:tabs>
        <w:spacing w:line="560" w:lineRule="exact"/>
        <w:ind w:firstLine="640"/>
        <w:rPr>
          <w:rFonts w:hint="eastAsia" w:ascii="楷体" w:hAnsi="楷体" w:eastAsia="楷体" w:cs="仿宋_GB2312"/>
          <w:b/>
          <w:bCs/>
          <w:color w:val="auto"/>
          <w:sz w:val="32"/>
          <w:szCs w:val="32"/>
          <w:highlight w:val="none"/>
          <w:lang w:val="en-US" w:eastAsia="zh-CN" w:bidi="ar-SA"/>
        </w:rPr>
      </w:pPr>
      <w:r>
        <w:rPr>
          <w:rFonts w:hint="eastAsia" w:ascii="楷体" w:hAnsi="楷体" w:eastAsia="楷体" w:cs="仿宋_GB2312"/>
          <w:b/>
          <w:bCs/>
          <w:color w:val="auto"/>
          <w:sz w:val="32"/>
          <w:szCs w:val="32"/>
          <w:highlight w:val="none"/>
          <w:lang w:val="en-US" w:eastAsia="zh-CN" w:bidi="ar-SA"/>
        </w:rPr>
        <w:t>（一）综合评价情况</w:t>
      </w:r>
    </w:p>
    <w:p>
      <w:pPr>
        <w:pStyle w:val="29"/>
        <w:tabs>
          <w:tab w:val="left" w:pos="1123"/>
        </w:tabs>
        <w:spacing w:line="560" w:lineRule="exact"/>
        <w:ind w:firstLine="640"/>
        <w:rPr>
          <w:rFonts w:hint="eastAsia" w:ascii="仿宋_GB2312" w:hAnsi="Cambria" w:eastAsia="仿宋_GB2312"/>
          <w:color w:val="auto"/>
          <w:sz w:val="32"/>
          <w:szCs w:val="32"/>
          <w:highlight w:val="none"/>
          <w:lang w:eastAsia="zh-CN"/>
        </w:rPr>
      </w:pPr>
      <w:r>
        <w:rPr>
          <w:rFonts w:hint="eastAsia" w:ascii="仿宋_GB2312" w:hAnsi="仿宋_GB2312" w:eastAsia="仿宋_GB2312" w:cs="仿宋_GB2312"/>
          <w:color w:val="auto"/>
          <w:sz w:val="32"/>
          <w:szCs w:val="32"/>
          <w:highlight w:val="none"/>
          <w:lang w:val="en-US" w:eastAsia="zh-CN" w:bidi="ar-SA"/>
        </w:rPr>
        <w:t>本级绩效评价遵循科学规范、公开公正、绩效相关和问题导向的原则、重点评价项目的资金投入与财务管理</w:t>
      </w: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sz w:val="32"/>
          <w:szCs w:val="32"/>
          <w:highlight w:val="none"/>
          <w:lang w:val="en-US" w:eastAsia="zh-CN" w:bidi="ar-SA"/>
        </w:rPr>
        <w:t>组织管理、产出与效益效果。在此基础上，以相关的项目数据为基础，综合运用不同的评价方法，结合评价标准和评分规则，2024年新疆西藏等地区教育特殊补助资金项目（园舍维修资金）综合得分为99.38分，</w:t>
      </w:r>
      <w:r>
        <w:rPr>
          <w:rFonts w:hint="eastAsia" w:ascii="仿宋_GB2312" w:hAnsi="Cambria" w:eastAsia="仿宋_GB2312"/>
          <w:color w:val="auto"/>
          <w:sz w:val="32"/>
          <w:szCs w:val="32"/>
          <w:highlight w:val="none"/>
        </w:rPr>
        <w:t>评价结果为优。</w:t>
      </w:r>
    </w:p>
    <w:p>
      <w:pPr>
        <w:pStyle w:val="29"/>
        <w:spacing w:line="560" w:lineRule="exact"/>
        <w:ind w:firstLine="585" w:firstLineChars="182"/>
        <w:jc w:val="center"/>
        <w:rPr>
          <w:rFonts w:hint="eastAsia" w:ascii="仿宋_GB2312" w:hAnsi="仿宋_GB2312" w:eastAsia="仿宋_GB2312" w:cs="仿宋_GB2312"/>
          <w:b/>
          <w:color w:val="auto"/>
          <w:sz w:val="32"/>
          <w:szCs w:val="32"/>
          <w:highlight w:val="none"/>
          <w:lang w:val="en-US" w:eastAsia="zh-CN" w:bidi="ar-SA"/>
        </w:rPr>
      </w:pPr>
      <w:r>
        <w:rPr>
          <w:rFonts w:hint="eastAsia" w:ascii="仿宋_GB2312" w:hAnsi="仿宋_GB2312" w:eastAsia="仿宋_GB2312" w:cs="仿宋_GB2312"/>
          <w:b/>
          <w:color w:val="auto"/>
          <w:sz w:val="32"/>
          <w:szCs w:val="32"/>
          <w:highlight w:val="none"/>
          <w:lang w:val="en-US" w:eastAsia="zh-CN" w:bidi="ar-SA"/>
        </w:rPr>
        <w:t>2024年新疆西藏等地区教育特殊补助资金项目（园舍维修资金）评价得分情况</w:t>
      </w:r>
    </w:p>
    <w:p>
      <w:pPr>
        <w:pStyle w:val="29"/>
        <w:spacing w:line="560" w:lineRule="exact"/>
        <w:ind w:firstLine="546" w:firstLineChars="182"/>
        <w:jc w:val="center"/>
        <w:rPr>
          <w:rFonts w:hint="eastAsia" w:ascii="仿宋_GB2312" w:hAnsi="仿宋_GB2312" w:eastAsia="仿宋_GB2312" w:cs="仿宋_GB2312"/>
          <w:color w:val="auto"/>
          <w:sz w:val="32"/>
          <w:szCs w:val="32"/>
          <w:highlight w:val="none"/>
          <w:lang w:val="en-US" w:eastAsia="zh-CN" w:bidi="ar-SA"/>
        </w:rPr>
      </w:pPr>
      <w:r>
        <w:br w:type="page"/>
      </w:r>
    </w:p>
    <w:tbl>
      <w:tblPr>
        <w:tblStyle w:val="12"/>
        <w:tblW w:w="9309" w:type="dxa"/>
        <w:jc w:val="center"/>
        <w:tblInd w:w="0" w:type="dxa"/>
        <w:tblLayout w:type="fixed"/>
        <w:tblCellMar>
          <w:top w:w="0" w:type="dxa"/>
          <w:left w:w="10" w:type="dxa"/>
          <w:bottom w:w="0" w:type="dxa"/>
          <w:right w:w="10" w:type="dxa"/>
        </w:tblCellMar>
      </w:tblPr>
      <w:tblGrid>
        <w:gridCol w:w="1447"/>
        <w:gridCol w:w="2045"/>
        <w:gridCol w:w="1951"/>
        <w:gridCol w:w="3866"/>
      </w:tblGrid>
      <w:tr>
        <w:tblPrEx>
          <w:tblLayout w:type="fixed"/>
          <w:tblCellMar>
            <w:top w:w="0" w:type="dxa"/>
            <w:left w:w="10" w:type="dxa"/>
            <w:bottom w:w="0" w:type="dxa"/>
            <w:right w:w="10" w:type="dxa"/>
          </w:tblCellMar>
        </w:tblPrEx>
        <w:trPr>
          <w:trHeight w:val="749" w:hRule="exact"/>
          <w:jc w:val="center"/>
        </w:trPr>
        <w:tc>
          <w:tcPr>
            <w:tcW w:w="1447" w:type="dxa"/>
            <w:tcBorders>
              <w:top w:val="single" w:color="auto" w:sz="4" w:space="0"/>
              <w:left w:val="single" w:color="auto" w:sz="4" w:space="0"/>
            </w:tcBorders>
            <w:vAlign w:val="center"/>
          </w:tcPr>
          <w:p>
            <w:pPr>
              <w:pStyle w:val="32"/>
              <w:spacing w:line="560" w:lineRule="exact"/>
              <w:ind w:firstLine="0"/>
              <w:jc w:val="center"/>
              <w:rPr>
                <w:rFonts w:hint="eastAsia" w:ascii="仿宋_GB2312" w:hAnsi="仿宋_GB2312" w:eastAsia="仿宋_GB2312" w:cs="仿宋_GB2312"/>
                <w:color w:val="auto"/>
                <w:sz w:val="32"/>
                <w:szCs w:val="32"/>
                <w:highlight w:val="none"/>
                <w:lang w:val="en-US" w:eastAsia="zh-CN" w:bidi="ar-SA"/>
              </w:rPr>
            </w:pPr>
            <w:r>
              <w:rPr>
                <w:rFonts w:hint="eastAsia" w:ascii="仿宋_GB2312" w:hAnsi="仿宋_GB2312" w:eastAsia="仿宋_GB2312" w:cs="仿宋_GB2312"/>
                <w:color w:val="auto"/>
                <w:sz w:val="32"/>
                <w:szCs w:val="32"/>
                <w:highlight w:val="none"/>
                <w:lang w:val="en-US" w:eastAsia="zh-CN" w:bidi="ar-SA"/>
              </w:rPr>
              <w:t>指标类别</w:t>
            </w:r>
          </w:p>
        </w:tc>
        <w:tc>
          <w:tcPr>
            <w:tcW w:w="2045" w:type="dxa"/>
            <w:tcBorders>
              <w:top w:val="single" w:color="auto" w:sz="4" w:space="0"/>
              <w:left w:val="single" w:color="auto" w:sz="4" w:space="0"/>
            </w:tcBorders>
            <w:vAlign w:val="center"/>
          </w:tcPr>
          <w:p>
            <w:pPr>
              <w:pStyle w:val="32"/>
              <w:spacing w:line="560" w:lineRule="exact"/>
              <w:ind w:firstLine="0"/>
              <w:jc w:val="center"/>
              <w:rPr>
                <w:rFonts w:hint="eastAsia" w:ascii="仿宋_GB2312" w:hAnsi="仿宋_GB2312" w:eastAsia="仿宋_GB2312" w:cs="仿宋_GB2312"/>
                <w:color w:val="auto"/>
                <w:sz w:val="32"/>
                <w:szCs w:val="32"/>
                <w:highlight w:val="none"/>
                <w:lang w:val="en-US" w:eastAsia="zh-CN" w:bidi="ar-SA"/>
              </w:rPr>
            </w:pPr>
            <w:r>
              <w:rPr>
                <w:rFonts w:hint="eastAsia" w:ascii="仿宋_GB2312" w:hAnsi="仿宋_GB2312" w:eastAsia="仿宋_GB2312" w:cs="仿宋_GB2312"/>
                <w:color w:val="auto"/>
                <w:sz w:val="32"/>
                <w:szCs w:val="32"/>
                <w:highlight w:val="none"/>
                <w:lang w:val="en-US" w:eastAsia="zh-CN" w:bidi="ar-SA"/>
              </w:rPr>
              <w:t>分值</w:t>
            </w:r>
          </w:p>
        </w:tc>
        <w:tc>
          <w:tcPr>
            <w:tcW w:w="1951" w:type="dxa"/>
            <w:tcBorders>
              <w:top w:val="single" w:color="auto" w:sz="4" w:space="0"/>
              <w:left w:val="single" w:color="auto" w:sz="4" w:space="0"/>
            </w:tcBorders>
            <w:vAlign w:val="center"/>
          </w:tcPr>
          <w:p>
            <w:pPr>
              <w:pStyle w:val="32"/>
              <w:spacing w:line="560" w:lineRule="exact"/>
              <w:ind w:firstLine="0"/>
              <w:jc w:val="center"/>
              <w:rPr>
                <w:rFonts w:hint="eastAsia" w:ascii="仿宋_GB2312" w:hAnsi="仿宋_GB2312" w:eastAsia="仿宋_GB2312" w:cs="仿宋_GB2312"/>
                <w:color w:val="auto"/>
                <w:sz w:val="32"/>
                <w:szCs w:val="32"/>
                <w:highlight w:val="none"/>
                <w:lang w:val="en-US" w:eastAsia="zh-CN" w:bidi="ar-SA"/>
              </w:rPr>
            </w:pPr>
            <w:r>
              <w:rPr>
                <w:rFonts w:hint="eastAsia" w:ascii="仿宋_GB2312" w:hAnsi="仿宋_GB2312" w:eastAsia="仿宋_GB2312" w:cs="仿宋_GB2312"/>
                <w:color w:val="auto"/>
                <w:sz w:val="32"/>
                <w:szCs w:val="32"/>
                <w:highlight w:val="none"/>
                <w:lang w:val="en-US" w:eastAsia="zh-CN" w:bidi="ar-SA"/>
              </w:rPr>
              <w:t>评价得分</w:t>
            </w:r>
          </w:p>
        </w:tc>
        <w:tc>
          <w:tcPr>
            <w:tcW w:w="3866" w:type="dxa"/>
            <w:tcBorders>
              <w:top w:val="single" w:color="auto" w:sz="4" w:space="0"/>
              <w:left w:val="single" w:color="auto" w:sz="4" w:space="0"/>
              <w:right w:val="single" w:color="auto" w:sz="4" w:space="0"/>
            </w:tcBorders>
            <w:vAlign w:val="center"/>
          </w:tcPr>
          <w:p>
            <w:pPr>
              <w:pStyle w:val="32"/>
              <w:spacing w:line="560" w:lineRule="exact"/>
              <w:ind w:firstLine="0"/>
              <w:jc w:val="center"/>
              <w:rPr>
                <w:rFonts w:hint="eastAsia" w:ascii="仿宋_GB2312" w:hAnsi="仿宋_GB2312" w:eastAsia="仿宋_GB2312" w:cs="仿宋_GB2312"/>
                <w:color w:val="auto"/>
                <w:sz w:val="32"/>
                <w:szCs w:val="32"/>
                <w:highlight w:val="none"/>
                <w:lang w:val="en-US" w:eastAsia="zh-CN" w:bidi="ar-SA"/>
              </w:rPr>
            </w:pPr>
            <w:r>
              <w:rPr>
                <w:rFonts w:hint="eastAsia" w:ascii="仿宋_GB2312" w:hAnsi="仿宋_GB2312" w:eastAsia="仿宋_GB2312" w:cs="仿宋_GB2312"/>
                <w:color w:val="auto"/>
                <w:sz w:val="32"/>
                <w:szCs w:val="32"/>
                <w:highlight w:val="none"/>
                <w:lang w:val="en-US" w:eastAsia="zh-CN" w:bidi="ar-SA"/>
              </w:rPr>
              <w:t>备注</w:t>
            </w:r>
          </w:p>
        </w:tc>
      </w:tr>
      <w:tr>
        <w:tblPrEx>
          <w:tblLayout w:type="fixed"/>
          <w:tblCellMar>
            <w:top w:w="0" w:type="dxa"/>
            <w:left w:w="10" w:type="dxa"/>
            <w:bottom w:w="0" w:type="dxa"/>
            <w:right w:w="10" w:type="dxa"/>
          </w:tblCellMar>
        </w:tblPrEx>
        <w:trPr>
          <w:trHeight w:val="824" w:hRule="exact"/>
          <w:jc w:val="center"/>
        </w:trPr>
        <w:tc>
          <w:tcPr>
            <w:tcW w:w="1447" w:type="dxa"/>
            <w:tcBorders>
              <w:top w:val="single" w:color="auto" w:sz="4" w:space="0"/>
              <w:left w:val="single" w:color="auto" w:sz="4" w:space="0"/>
            </w:tcBorders>
            <w:vAlign w:val="center"/>
          </w:tcPr>
          <w:p>
            <w:pPr>
              <w:pStyle w:val="32"/>
              <w:spacing w:line="560" w:lineRule="exact"/>
              <w:ind w:firstLine="0"/>
              <w:jc w:val="center"/>
              <w:rPr>
                <w:rFonts w:hint="eastAsia" w:ascii="仿宋_GB2312" w:hAnsi="仿宋_GB2312" w:eastAsia="仿宋_GB2312" w:cs="仿宋_GB2312"/>
                <w:color w:val="auto"/>
                <w:sz w:val="32"/>
                <w:szCs w:val="32"/>
                <w:highlight w:val="none"/>
                <w:lang w:val="en-US" w:eastAsia="zh-CN" w:bidi="ar-SA"/>
              </w:rPr>
            </w:pPr>
            <w:r>
              <w:rPr>
                <w:rFonts w:hint="eastAsia" w:ascii="仿宋_GB2312" w:hAnsi="仿宋_GB2312" w:eastAsia="仿宋_GB2312" w:cs="仿宋_GB2312"/>
                <w:color w:val="auto"/>
                <w:sz w:val="32"/>
                <w:szCs w:val="32"/>
                <w:highlight w:val="none"/>
                <w:lang w:val="en-US" w:eastAsia="zh-CN" w:bidi="ar-SA"/>
              </w:rPr>
              <w:t>决策</w:t>
            </w:r>
          </w:p>
        </w:tc>
        <w:tc>
          <w:tcPr>
            <w:tcW w:w="2045" w:type="dxa"/>
            <w:tcBorders>
              <w:top w:val="single" w:color="auto" w:sz="4" w:space="0"/>
              <w:left w:val="single" w:color="auto" w:sz="4" w:space="0"/>
            </w:tcBorders>
            <w:vAlign w:val="center"/>
          </w:tcPr>
          <w:p>
            <w:pPr>
              <w:pStyle w:val="32"/>
              <w:spacing w:line="560" w:lineRule="exact"/>
              <w:ind w:firstLine="0"/>
              <w:jc w:val="center"/>
              <w:rPr>
                <w:rFonts w:hint="default" w:ascii="仿宋_GB2312" w:hAnsi="仿宋_GB2312" w:eastAsia="仿宋_GB2312" w:cs="仿宋_GB2312"/>
                <w:color w:val="auto"/>
                <w:sz w:val="32"/>
                <w:szCs w:val="32"/>
                <w:highlight w:val="none"/>
                <w:lang w:val="en-US" w:eastAsia="zh-CN" w:bidi="ar-SA"/>
              </w:rPr>
            </w:pPr>
            <w:r>
              <w:rPr>
                <w:rFonts w:hint="eastAsia" w:ascii="仿宋_GB2312" w:hAnsi="仿宋_GB2312" w:eastAsia="仿宋_GB2312" w:cs="仿宋_GB2312"/>
                <w:color w:val="auto"/>
                <w:sz w:val="32"/>
                <w:szCs w:val="32"/>
                <w:highlight w:val="none"/>
                <w:lang w:val="en-US" w:eastAsia="zh-CN" w:bidi="ar-SA"/>
              </w:rPr>
              <w:t>23</w:t>
            </w:r>
          </w:p>
        </w:tc>
        <w:tc>
          <w:tcPr>
            <w:tcW w:w="1951" w:type="dxa"/>
            <w:tcBorders>
              <w:top w:val="single" w:color="auto" w:sz="4" w:space="0"/>
              <w:left w:val="single" w:color="auto" w:sz="4" w:space="0"/>
            </w:tcBorders>
            <w:vAlign w:val="center"/>
          </w:tcPr>
          <w:p>
            <w:pPr>
              <w:pStyle w:val="32"/>
              <w:spacing w:line="560" w:lineRule="exact"/>
              <w:ind w:firstLine="0"/>
              <w:jc w:val="center"/>
              <w:rPr>
                <w:rFonts w:hint="eastAsia" w:ascii="仿宋_GB2312" w:hAnsi="仿宋_GB2312" w:eastAsia="仿宋_GB2312" w:cs="仿宋_GB2312"/>
                <w:color w:val="auto"/>
                <w:sz w:val="32"/>
                <w:szCs w:val="32"/>
                <w:highlight w:val="none"/>
                <w:lang w:val="en-US" w:eastAsia="zh-CN" w:bidi="ar-SA"/>
              </w:rPr>
            </w:pPr>
            <w:r>
              <w:rPr>
                <w:rFonts w:hint="eastAsia" w:ascii="仿宋_GB2312" w:hAnsi="仿宋_GB2312" w:eastAsia="仿宋_GB2312" w:cs="仿宋_GB2312"/>
                <w:color w:val="auto"/>
                <w:sz w:val="32"/>
                <w:szCs w:val="32"/>
                <w:highlight w:val="none"/>
                <w:lang w:val="en-US" w:eastAsia="zh-CN" w:bidi="ar-SA"/>
              </w:rPr>
              <w:t>23</w:t>
            </w:r>
          </w:p>
        </w:tc>
        <w:tc>
          <w:tcPr>
            <w:tcW w:w="3866" w:type="dxa"/>
            <w:tcBorders>
              <w:top w:val="single" w:color="auto" w:sz="4" w:space="0"/>
              <w:left w:val="single" w:color="auto" w:sz="4" w:space="0"/>
              <w:right w:val="single" w:color="auto" w:sz="4" w:space="0"/>
            </w:tcBorders>
            <w:vAlign w:val="top"/>
          </w:tcPr>
          <w:p>
            <w:pPr>
              <w:pStyle w:val="32"/>
              <w:spacing w:line="560" w:lineRule="exact"/>
              <w:ind w:firstLine="0"/>
              <w:rPr>
                <w:rFonts w:hint="eastAsia" w:ascii="仿宋_GB2312" w:hAnsi="仿宋_GB2312" w:eastAsia="仿宋_GB2312" w:cs="仿宋_GB2312"/>
                <w:color w:val="auto"/>
                <w:sz w:val="32"/>
                <w:szCs w:val="32"/>
                <w:highlight w:val="none"/>
                <w:lang w:val="en-US" w:eastAsia="zh-CN" w:bidi="ar-SA"/>
              </w:rPr>
            </w:pPr>
          </w:p>
        </w:tc>
      </w:tr>
      <w:tr>
        <w:tblPrEx>
          <w:tblLayout w:type="fixed"/>
          <w:tblCellMar>
            <w:top w:w="0" w:type="dxa"/>
            <w:left w:w="10" w:type="dxa"/>
            <w:bottom w:w="0" w:type="dxa"/>
            <w:right w:w="10" w:type="dxa"/>
          </w:tblCellMar>
        </w:tblPrEx>
        <w:trPr>
          <w:trHeight w:val="835" w:hRule="exact"/>
          <w:jc w:val="center"/>
        </w:trPr>
        <w:tc>
          <w:tcPr>
            <w:tcW w:w="1447" w:type="dxa"/>
            <w:tcBorders>
              <w:top w:val="single" w:color="auto" w:sz="4" w:space="0"/>
              <w:left w:val="single" w:color="auto" w:sz="4" w:space="0"/>
            </w:tcBorders>
            <w:vAlign w:val="center"/>
          </w:tcPr>
          <w:p>
            <w:pPr>
              <w:pStyle w:val="32"/>
              <w:spacing w:line="560" w:lineRule="exact"/>
              <w:ind w:firstLine="380"/>
              <w:jc w:val="left"/>
              <w:rPr>
                <w:rFonts w:hint="eastAsia" w:ascii="仿宋_GB2312" w:hAnsi="仿宋_GB2312" w:eastAsia="仿宋_GB2312" w:cs="仿宋_GB2312"/>
                <w:color w:val="auto"/>
                <w:sz w:val="32"/>
                <w:szCs w:val="32"/>
                <w:highlight w:val="none"/>
                <w:lang w:val="en-US" w:eastAsia="zh-CN" w:bidi="ar-SA"/>
              </w:rPr>
            </w:pPr>
            <w:r>
              <w:rPr>
                <w:rFonts w:hint="eastAsia" w:ascii="仿宋_GB2312" w:hAnsi="仿宋_GB2312" w:eastAsia="仿宋_GB2312" w:cs="仿宋_GB2312"/>
                <w:color w:val="auto"/>
                <w:sz w:val="32"/>
                <w:szCs w:val="32"/>
                <w:highlight w:val="none"/>
                <w:lang w:val="en-US" w:eastAsia="zh-CN" w:bidi="ar-SA"/>
              </w:rPr>
              <w:t>过程</w:t>
            </w:r>
          </w:p>
        </w:tc>
        <w:tc>
          <w:tcPr>
            <w:tcW w:w="2045" w:type="dxa"/>
            <w:tcBorders>
              <w:top w:val="single" w:color="auto" w:sz="4" w:space="0"/>
              <w:left w:val="single" w:color="auto" w:sz="4" w:space="0"/>
            </w:tcBorders>
            <w:vAlign w:val="center"/>
          </w:tcPr>
          <w:p>
            <w:pPr>
              <w:pStyle w:val="32"/>
              <w:spacing w:line="560" w:lineRule="exact"/>
              <w:ind w:firstLine="0"/>
              <w:jc w:val="center"/>
              <w:rPr>
                <w:rFonts w:hint="default" w:ascii="仿宋_GB2312" w:hAnsi="仿宋_GB2312" w:eastAsia="仿宋_GB2312" w:cs="仿宋_GB2312"/>
                <w:color w:val="auto"/>
                <w:sz w:val="32"/>
                <w:szCs w:val="32"/>
                <w:highlight w:val="none"/>
                <w:lang w:val="en-US" w:eastAsia="zh-CN" w:bidi="ar-SA"/>
              </w:rPr>
            </w:pPr>
            <w:r>
              <w:rPr>
                <w:rFonts w:hint="eastAsia" w:ascii="仿宋_GB2312" w:hAnsi="仿宋_GB2312" w:eastAsia="仿宋_GB2312" w:cs="仿宋_GB2312"/>
                <w:color w:val="auto"/>
                <w:sz w:val="32"/>
                <w:szCs w:val="32"/>
                <w:highlight w:val="none"/>
                <w:lang w:val="en-US" w:eastAsia="zh-CN" w:bidi="ar-SA"/>
              </w:rPr>
              <w:t>17</w:t>
            </w:r>
          </w:p>
        </w:tc>
        <w:tc>
          <w:tcPr>
            <w:tcW w:w="1951" w:type="dxa"/>
            <w:tcBorders>
              <w:top w:val="single" w:color="auto" w:sz="4" w:space="0"/>
              <w:left w:val="single" w:color="auto" w:sz="4" w:space="0"/>
            </w:tcBorders>
            <w:vAlign w:val="center"/>
          </w:tcPr>
          <w:p>
            <w:pPr>
              <w:pStyle w:val="32"/>
              <w:spacing w:line="560" w:lineRule="exact"/>
              <w:ind w:firstLine="0"/>
              <w:jc w:val="center"/>
              <w:rPr>
                <w:rFonts w:hint="default" w:ascii="仿宋_GB2312" w:hAnsi="仿宋_GB2312" w:eastAsia="仿宋_GB2312" w:cs="仿宋_GB2312"/>
                <w:color w:val="auto"/>
                <w:sz w:val="32"/>
                <w:szCs w:val="32"/>
                <w:highlight w:val="none"/>
                <w:lang w:val="en-US" w:eastAsia="zh-CN" w:bidi="ar-SA"/>
              </w:rPr>
            </w:pPr>
            <w:r>
              <w:rPr>
                <w:rFonts w:hint="eastAsia" w:ascii="仿宋_GB2312" w:hAnsi="仿宋_GB2312" w:eastAsia="仿宋_GB2312" w:cs="仿宋_GB2312"/>
                <w:color w:val="auto"/>
                <w:sz w:val="32"/>
                <w:szCs w:val="32"/>
                <w:highlight w:val="none"/>
                <w:lang w:val="en-US" w:eastAsia="zh-CN" w:bidi="ar-SA"/>
              </w:rPr>
              <w:t>16.80</w:t>
            </w:r>
          </w:p>
        </w:tc>
        <w:tc>
          <w:tcPr>
            <w:tcW w:w="3866" w:type="dxa"/>
            <w:tcBorders>
              <w:top w:val="single" w:color="auto" w:sz="4" w:space="0"/>
              <w:left w:val="single" w:color="auto" w:sz="4" w:space="0"/>
              <w:right w:val="single" w:color="auto" w:sz="4" w:space="0"/>
            </w:tcBorders>
            <w:vAlign w:val="bottom"/>
          </w:tcPr>
          <w:p>
            <w:pPr>
              <w:pStyle w:val="32"/>
              <w:spacing w:line="560" w:lineRule="exact"/>
              <w:ind w:firstLine="0"/>
              <w:jc w:val="left"/>
              <w:rPr>
                <w:rFonts w:hint="default" w:ascii="仿宋_GB2312" w:hAnsi="仿宋_GB2312" w:eastAsia="仿宋_GB2312" w:cs="仿宋_GB2312"/>
                <w:color w:val="auto"/>
                <w:sz w:val="32"/>
                <w:szCs w:val="32"/>
                <w:highlight w:val="none"/>
                <w:lang w:val="en-US" w:eastAsia="zh-CN" w:bidi="ar-SA"/>
              </w:rPr>
            </w:pPr>
            <w:r>
              <w:rPr>
                <w:rFonts w:hint="eastAsia" w:ascii="仿宋_GB2312" w:hAnsi="仿宋_GB2312" w:eastAsia="仿宋_GB2312" w:cs="仿宋_GB2312"/>
                <w:color w:val="auto"/>
                <w:sz w:val="32"/>
                <w:szCs w:val="32"/>
                <w:highlight w:val="none"/>
                <w:lang w:val="en-US" w:eastAsia="zh-CN" w:bidi="ar-SA"/>
              </w:rPr>
              <w:t>项目预算执行率95.90%</w:t>
            </w:r>
          </w:p>
        </w:tc>
      </w:tr>
      <w:tr>
        <w:tblPrEx>
          <w:tblLayout w:type="fixed"/>
          <w:tblCellMar>
            <w:top w:w="0" w:type="dxa"/>
            <w:left w:w="10" w:type="dxa"/>
            <w:bottom w:w="0" w:type="dxa"/>
            <w:right w:w="10" w:type="dxa"/>
          </w:tblCellMar>
        </w:tblPrEx>
        <w:trPr>
          <w:trHeight w:val="857" w:hRule="exact"/>
          <w:jc w:val="center"/>
        </w:trPr>
        <w:tc>
          <w:tcPr>
            <w:tcW w:w="1447" w:type="dxa"/>
            <w:tcBorders>
              <w:top w:val="single" w:color="auto" w:sz="4" w:space="0"/>
              <w:left w:val="single" w:color="auto" w:sz="4" w:space="0"/>
            </w:tcBorders>
            <w:vAlign w:val="center"/>
          </w:tcPr>
          <w:p>
            <w:pPr>
              <w:pStyle w:val="32"/>
              <w:spacing w:line="560" w:lineRule="exact"/>
              <w:ind w:firstLine="0"/>
              <w:jc w:val="center"/>
              <w:rPr>
                <w:rFonts w:hint="eastAsia" w:ascii="仿宋_GB2312" w:hAnsi="仿宋_GB2312" w:eastAsia="仿宋_GB2312" w:cs="仿宋_GB2312"/>
                <w:color w:val="auto"/>
                <w:sz w:val="32"/>
                <w:szCs w:val="32"/>
                <w:highlight w:val="none"/>
                <w:lang w:val="en-US" w:eastAsia="zh-CN" w:bidi="ar-SA"/>
              </w:rPr>
            </w:pPr>
            <w:r>
              <w:rPr>
                <w:rFonts w:hint="eastAsia" w:ascii="仿宋_GB2312" w:hAnsi="仿宋_GB2312" w:eastAsia="仿宋_GB2312" w:cs="仿宋_GB2312"/>
                <w:color w:val="auto"/>
                <w:sz w:val="32"/>
                <w:szCs w:val="32"/>
                <w:highlight w:val="none"/>
                <w:lang w:val="en-US" w:eastAsia="zh-CN" w:bidi="ar-SA"/>
              </w:rPr>
              <w:t>产出</w:t>
            </w:r>
          </w:p>
        </w:tc>
        <w:tc>
          <w:tcPr>
            <w:tcW w:w="2045" w:type="dxa"/>
            <w:tcBorders>
              <w:top w:val="single" w:color="auto" w:sz="4" w:space="0"/>
              <w:left w:val="single" w:color="auto" w:sz="4" w:space="0"/>
            </w:tcBorders>
            <w:vAlign w:val="center"/>
          </w:tcPr>
          <w:p>
            <w:pPr>
              <w:pStyle w:val="32"/>
              <w:spacing w:line="560" w:lineRule="exact"/>
              <w:ind w:firstLine="0"/>
              <w:jc w:val="center"/>
              <w:rPr>
                <w:rFonts w:hint="default" w:ascii="仿宋_GB2312" w:hAnsi="仿宋_GB2312" w:eastAsia="仿宋_GB2312" w:cs="仿宋_GB2312"/>
                <w:color w:val="auto"/>
                <w:sz w:val="32"/>
                <w:szCs w:val="32"/>
                <w:highlight w:val="none"/>
                <w:lang w:val="en-US" w:eastAsia="zh-CN" w:bidi="ar-SA"/>
              </w:rPr>
            </w:pPr>
            <w:r>
              <w:rPr>
                <w:rFonts w:hint="eastAsia" w:ascii="仿宋_GB2312" w:hAnsi="仿宋_GB2312" w:eastAsia="仿宋_GB2312" w:cs="仿宋_GB2312"/>
                <w:color w:val="auto"/>
                <w:sz w:val="32"/>
                <w:szCs w:val="32"/>
                <w:highlight w:val="none"/>
                <w:lang w:val="en-US" w:eastAsia="zh-CN" w:bidi="ar-SA"/>
              </w:rPr>
              <w:t>30</w:t>
            </w:r>
          </w:p>
        </w:tc>
        <w:tc>
          <w:tcPr>
            <w:tcW w:w="1951" w:type="dxa"/>
            <w:tcBorders>
              <w:top w:val="single" w:color="auto" w:sz="4" w:space="0"/>
              <w:left w:val="single" w:color="auto" w:sz="4" w:space="0"/>
            </w:tcBorders>
            <w:vAlign w:val="center"/>
          </w:tcPr>
          <w:p>
            <w:pPr>
              <w:pStyle w:val="32"/>
              <w:spacing w:line="560" w:lineRule="exact"/>
              <w:ind w:firstLine="0"/>
              <w:jc w:val="center"/>
              <w:rPr>
                <w:rFonts w:hint="default" w:ascii="仿宋_GB2312" w:hAnsi="仿宋_GB2312" w:eastAsia="仿宋_GB2312" w:cs="仿宋_GB2312"/>
                <w:color w:val="auto"/>
                <w:sz w:val="32"/>
                <w:szCs w:val="32"/>
                <w:highlight w:val="none"/>
                <w:lang w:val="en-US" w:eastAsia="zh-CN" w:bidi="ar-SA"/>
              </w:rPr>
            </w:pPr>
            <w:r>
              <w:rPr>
                <w:rFonts w:hint="eastAsia" w:ascii="仿宋_GB2312" w:hAnsi="仿宋_GB2312" w:eastAsia="仿宋_GB2312" w:cs="仿宋_GB2312"/>
                <w:color w:val="auto"/>
                <w:sz w:val="32"/>
                <w:szCs w:val="32"/>
                <w:highlight w:val="none"/>
                <w:lang w:val="en-US" w:eastAsia="zh-CN" w:bidi="ar-SA"/>
              </w:rPr>
              <w:t>29.59</w:t>
            </w:r>
          </w:p>
        </w:tc>
        <w:tc>
          <w:tcPr>
            <w:tcW w:w="3866" w:type="dxa"/>
            <w:tcBorders>
              <w:top w:val="single" w:color="auto" w:sz="4" w:space="0"/>
              <w:left w:val="single" w:color="auto" w:sz="4" w:space="0"/>
              <w:right w:val="single" w:color="auto" w:sz="4" w:space="0"/>
            </w:tcBorders>
            <w:vAlign w:val="center"/>
          </w:tcPr>
          <w:p>
            <w:pPr>
              <w:pStyle w:val="32"/>
              <w:spacing w:line="560" w:lineRule="exact"/>
              <w:ind w:firstLine="0"/>
              <w:rPr>
                <w:rFonts w:hint="default" w:ascii="仿宋_GB2312" w:hAnsi="仿宋_GB2312" w:eastAsia="仿宋_GB2312" w:cs="仿宋_GB2312"/>
                <w:color w:val="auto"/>
                <w:sz w:val="32"/>
                <w:szCs w:val="32"/>
                <w:highlight w:val="none"/>
                <w:lang w:val="en-US" w:eastAsia="zh-CN" w:bidi="ar-SA"/>
              </w:rPr>
            </w:pPr>
            <w:r>
              <w:rPr>
                <w:rFonts w:hint="eastAsia" w:ascii="仿宋_GB2312" w:hAnsi="仿宋_GB2312" w:eastAsia="仿宋_GB2312" w:cs="仿宋_GB2312"/>
                <w:color w:val="auto"/>
                <w:sz w:val="32"/>
                <w:szCs w:val="32"/>
                <w:highlight w:val="none"/>
                <w:lang w:val="en-US" w:eastAsia="zh-CN" w:bidi="ar-SA"/>
              </w:rPr>
              <w:t>未完成经济成本指标2个</w:t>
            </w:r>
          </w:p>
        </w:tc>
      </w:tr>
      <w:tr>
        <w:tblPrEx>
          <w:tblLayout w:type="fixed"/>
          <w:tblCellMar>
            <w:top w:w="0" w:type="dxa"/>
            <w:left w:w="10" w:type="dxa"/>
            <w:bottom w:w="0" w:type="dxa"/>
            <w:right w:w="10" w:type="dxa"/>
          </w:tblCellMar>
        </w:tblPrEx>
        <w:trPr>
          <w:trHeight w:val="763" w:hRule="exact"/>
          <w:jc w:val="center"/>
        </w:trPr>
        <w:tc>
          <w:tcPr>
            <w:tcW w:w="1447" w:type="dxa"/>
            <w:tcBorders>
              <w:top w:val="single" w:color="auto" w:sz="4" w:space="0"/>
              <w:left w:val="single" w:color="auto" w:sz="4" w:space="0"/>
              <w:bottom w:val="single" w:color="auto" w:sz="4" w:space="0"/>
            </w:tcBorders>
            <w:vAlign w:val="center"/>
          </w:tcPr>
          <w:p>
            <w:pPr>
              <w:pStyle w:val="32"/>
              <w:spacing w:line="560" w:lineRule="exact"/>
              <w:ind w:firstLine="0"/>
              <w:jc w:val="center"/>
              <w:rPr>
                <w:rFonts w:hint="eastAsia" w:ascii="仿宋_GB2312" w:hAnsi="仿宋_GB2312" w:eastAsia="仿宋_GB2312" w:cs="仿宋_GB2312"/>
                <w:color w:val="auto"/>
                <w:sz w:val="32"/>
                <w:szCs w:val="32"/>
                <w:highlight w:val="none"/>
                <w:lang w:val="en-US" w:eastAsia="zh-CN" w:bidi="ar-SA"/>
              </w:rPr>
            </w:pPr>
            <w:r>
              <w:rPr>
                <w:rFonts w:hint="eastAsia" w:ascii="仿宋_GB2312" w:hAnsi="仿宋_GB2312" w:eastAsia="仿宋_GB2312" w:cs="仿宋_GB2312"/>
                <w:color w:val="auto"/>
                <w:sz w:val="32"/>
                <w:szCs w:val="32"/>
                <w:highlight w:val="none"/>
                <w:lang w:val="en-US" w:eastAsia="zh-CN" w:bidi="ar-SA"/>
              </w:rPr>
              <w:t>效益</w:t>
            </w:r>
          </w:p>
        </w:tc>
        <w:tc>
          <w:tcPr>
            <w:tcW w:w="2045" w:type="dxa"/>
            <w:tcBorders>
              <w:top w:val="single" w:color="auto" w:sz="4" w:space="0"/>
              <w:left w:val="single" w:color="auto" w:sz="4" w:space="0"/>
              <w:bottom w:val="single" w:color="auto" w:sz="4" w:space="0"/>
            </w:tcBorders>
            <w:vAlign w:val="center"/>
          </w:tcPr>
          <w:p>
            <w:pPr>
              <w:pStyle w:val="32"/>
              <w:spacing w:line="560" w:lineRule="exact"/>
              <w:ind w:firstLine="0"/>
              <w:jc w:val="center"/>
              <w:rPr>
                <w:rFonts w:hint="default" w:ascii="仿宋_GB2312" w:hAnsi="仿宋_GB2312" w:eastAsia="仿宋_GB2312" w:cs="仿宋_GB2312"/>
                <w:color w:val="auto"/>
                <w:sz w:val="32"/>
                <w:szCs w:val="32"/>
                <w:highlight w:val="none"/>
                <w:lang w:val="en-US" w:eastAsia="zh-CN" w:bidi="ar-SA"/>
              </w:rPr>
            </w:pPr>
            <w:r>
              <w:rPr>
                <w:rFonts w:hint="eastAsia" w:ascii="仿宋_GB2312" w:hAnsi="仿宋_GB2312" w:eastAsia="仿宋_GB2312" w:cs="仿宋_GB2312"/>
                <w:color w:val="auto"/>
                <w:sz w:val="32"/>
                <w:szCs w:val="32"/>
                <w:highlight w:val="none"/>
                <w:lang w:val="en-US" w:eastAsia="zh-CN" w:bidi="ar-SA"/>
              </w:rPr>
              <w:t>30</w:t>
            </w:r>
          </w:p>
        </w:tc>
        <w:tc>
          <w:tcPr>
            <w:tcW w:w="1951" w:type="dxa"/>
            <w:tcBorders>
              <w:top w:val="single" w:color="auto" w:sz="4" w:space="0"/>
              <w:left w:val="single" w:color="auto" w:sz="4" w:space="0"/>
              <w:bottom w:val="single" w:color="auto" w:sz="4" w:space="0"/>
            </w:tcBorders>
            <w:vAlign w:val="center"/>
          </w:tcPr>
          <w:p>
            <w:pPr>
              <w:pStyle w:val="32"/>
              <w:spacing w:line="560" w:lineRule="exact"/>
              <w:ind w:firstLine="0"/>
              <w:jc w:val="center"/>
              <w:rPr>
                <w:rFonts w:hint="eastAsia" w:ascii="仿宋_GB2312" w:hAnsi="仿宋_GB2312" w:eastAsia="仿宋_GB2312" w:cs="仿宋_GB2312"/>
                <w:color w:val="auto"/>
                <w:sz w:val="32"/>
                <w:szCs w:val="32"/>
                <w:highlight w:val="none"/>
                <w:lang w:val="en-US" w:eastAsia="zh-CN" w:bidi="ar-SA"/>
              </w:rPr>
            </w:pPr>
            <w:r>
              <w:rPr>
                <w:rFonts w:hint="eastAsia" w:ascii="仿宋_GB2312" w:hAnsi="仿宋_GB2312" w:eastAsia="仿宋_GB2312" w:cs="仿宋_GB2312"/>
                <w:color w:val="auto"/>
                <w:sz w:val="32"/>
                <w:szCs w:val="32"/>
                <w:highlight w:val="none"/>
                <w:lang w:val="en-US" w:eastAsia="zh-CN" w:bidi="ar-SA"/>
              </w:rPr>
              <w:t>30</w:t>
            </w:r>
          </w:p>
        </w:tc>
        <w:tc>
          <w:tcPr>
            <w:tcW w:w="3866" w:type="dxa"/>
            <w:tcBorders>
              <w:top w:val="single" w:color="auto" w:sz="4" w:space="0"/>
              <w:left w:val="single" w:color="auto" w:sz="4" w:space="0"/>
              <w:bottom w:val="single" w:color="auto" w:sz="4" w:space="0"/>
              <w:right w:val="single" w:color="auto" w:sz="4" w:space="0"/>
            </w:tcBorders>
            <w:vAlign w:val="top"/>
          </w:tcPr>
          <w:p>
            <w:pPr>
              <w:spacing w:line="560" w:lineRule="exact"/>
              <w:rPr>
                <w:rFonts w:hint="eastAsia" w:ascii="仿宋_GB2312" w:hAnsi="仿宋_GB2312" w:cs="仿宋_GB2312"/>
                <w:color w:val="auto"/>
                <w:sz w:val="32"/>
                <w:szCs w:val="32"/>
                <w:highlight w:val="none"/>
              </w:rPr>
            </w:pPr>
          </w:p>
        </w:tc>
      </w:tr>
      <w:tr>
        <w:tblPrEx>
          <w:tblLayout w:type="fixed"/>
          <w:tblCellMar>
            <w:top w:w="0" w:type="dxa"/>
            <w:left w:w="10" w:type="dxa"/>
            <w:bottom w:w="0" w:type="dxa"/>
            <w:right w:w="10" w:type="dxa"/>
          </w:tblCellMar>
        </w:tblPrEx>
        <w:trPr>
          <w:trHeight w:val="763" w:hRule="exact"/>
          <w:jc w:val="center"/>
        </w:trPr>
        <w:tc>
          <w:tcPr>
            <w:tcW w:w="1447" w:type="dxa"/>
            <w:tcBorders>
              <w:top w:val="single" w:color="auto" w:sz="4" w:space="0"/>
              <w:left w:val="single" w:color="auto" w:sz="4" w:space="0"/>
              <w:bottom w:val="single" w:color="auto" w:sz="4" w:space="0"/>
            </w:tcBorders>
            <w:vAlign w:val="center"/>
          </w:tcPr>
          <w:p>
            <w:pPr>
              <w:pStyle w:val="32"/>
              <w:spacing w:line="560" w:lineRule="exact"/>
              <w:ind w:firstLine="0"/>
              <w:jc w:val="center"/>
              <w:rPr>
                <w:rFonts w:hint="eastAsia" w:ascii="仿宋_GB2312" w:hAnsi="仿宋_GB2312" w:eastAsia="仿宋_GB2312" w:cs="仿宋_GB2312"/>
                <w:color w:val="auto"/>
                <w:sz w:val="32"/>
                <w:szCs w:val="32"/>
                <w:highlight w:val="none"/>
                <w:lang w:val="en-US" w:eastAsia="zh-CN" w:bidi="ar-SA"/>
              </w:rPr>
            </w:pPr>
            <w:r>
              <w:rPr>
                <w:rFonts w:hint="eastAsia" w:ascii="仿宋_GB2312" w:hAnsi="仿宋_GB2312" w:eastAsia="仿宋_GB2312" w:cs="仿宋_GB2312"/>
                <w:color w:val="auto"/>
                <w:sz w:val="32"/>
                <w:szCs w:val="32"/>
                <w:highlight w:val="none"/>
                <w:lang w:val="en-US" w:eastAsia="zh-CN" w:bidi="ar-SA"/>
              </w:rPr>
              <w:t>合计</w:t>
            </w:r>
          </w:p>
        </w:tc>
        <w:tc>
          <w:tcPr>
            <w:tcW w:w="2045" w:type="dxa"/>
            <w:tcBorders>
              <w:top w:val="single" w:color="auto" w:sz="4" w:space="0"/>
              <w:left w:val="single" w:color="auto" w:sz="4" w:space="0"/>
              <w:bottom w:val="single" w:color="auto" w:sz="4" w:space="0"/>
            </w:tcBorders>
            <w:vAlign w:val="center"/>
          </w:tcPr>
          <w:p>
            <w:pPr>
              <w:pStyle w:val="32"/>
              <w:spacing w:line="560" w:lineRule="exact"/>
              <w:ind w:firstLine="0"/>
              <w:jc w:val="center"/>
              <w:rPr>
                <w:rFonts w:hint="default" w:ascii="仿宋_GB2312" w:hAnsi="仿宋_GB2312" w:eastAsia="仿宋_GB2312" w:cs="仿宋_GB2312"/>
                <w:color w:val="auto"/>
                <w:sz w:val="32"/>
                <w:szCs w:val="32"/>
                <w:highlight w:val="none"/>
                <w:lang w:val="en-US" w:eastAsia="zh-CN" w:bidi="ar-SA"/>
              </w:rPr>
            </w:pPr>
            <w:r>
              <w:rPr>
                <w:rFonts w:hint="eastAsia" w:ascii="仿宋_GB2312" w:hAnsi="仿宋_GB2312" w:eastAsia="仿宋_GB2312" w:cs="仿宋_GB2312"/>
                <w:color w:val="auto"/>
                <w:sz w:val="32"/>
                <w:szCs w:val="32"/>
                <w:highlight w:val="none"/>
                <w:lang w:val="en-US" w:eastAsia="zh-CN" w:bidi="ar-SA"/>
              </w:rPr>
              <w:t>100</w:t>
            </w:r>
          </w:p>
        </w:tc>
        <w:tc>
          <w:tcPr>
            <w:tcW w:w="1951" w:type="dxa"/>
            <w:tcBorders>
              <w:top w:val="single" w:color="auto" w:sz="4" w:space="0"/>
              <w:left w:val="single" w:color="auto" w:sz="4" w:space="0"/>
              <w:bottom w:val="single" w:color="auto" w:sz="4" w:space="0"/>
            </w:tcBorders>
            <w:vAlign w:val="center"/>
          </w:tcPr>
          <w:p>
            <w:pPr>
              <w:pStyle w:val="32"/>
              <w:spacing w:line="560" w:lineRule="exact"/>
              <w:ind w:firstLine="0"/>
              <w:jc w:val="center"/>
              <w:rPr>
                <w:rFonts w:hint="eastAsia" w:ascii="仿宋_GB2312" w:hAnsi="仿宋_GB2312" w:eastAsia="仿宋_GB2312" w:cs="仿宋_GB2312"/>
                <w:color w:val="auto"/>
                <w:sz w:val="32"/>
                <w:szCs w:val="32"/>
                <w:highlight w:val="none"/>
                <w:lang w:val="en-US" w:eastAsia="zh-CN" w:bidi="ar-SA"/>
              </w:rPr>
            </w:pPr>
            <w:r>
              <w:rPr>
                <w:rFonts w:hint="eastAsia" w:ascii="仿宋_GB2312" w:hAnsi="仿宋_GB2312" w:cs="仿宋_GB2312"/>
                <w:color w:val="auto"/>
                <w:sz w:val="32"/>
                <w:szCs w:val="32"/>
                <w:highlight w:val="none"/>
                <w:lang w:eastAsia="zh-CN"/>
              </w:rPr>
              <w:t>99.38</w:t>
            </w:r>
          </w:p>
        </w:tc>
        <w:tc>
          <w:tcPr>
            <w:tcW w:w="3866" w:type="dxa"/>
            <w:tcBorders>
              <w:top w:val="single" w:color="auto" w:sz="4" w:space="0"/>
              <w:left w:val="single" w:color="auto" w:sz="4" w:space="0"/>
              <w:bottom w:val="single" w:color="auto" w:sz="4" w:space="0"/>
              <w:right w:val="single" w:color="auto" w:sz="4" w:space="0"/>
            </w:tcBorders>
            <w:vAlign w:val="top"/>
          </w:tcPr>
          <w:p>
            <w:pPr>
              <w:spacing w:line="560" w:lineRule="exact"/>
              <w:rPr>
                <w:rFonts w:hint="eastAsia" w:ascii="仿宋_GB2312" w:hAnsi="仿宋_GB2312" w:cs="仿宋_GB2312"/>
                <w:color w:val="auto"/>
                <w:sz w:val="32"/>
                <w:szCs w:val="32"/>
                <w:highlight w:val="none"/>
              </w:rPr>
            </w:pPr>
          </w:p>
        </w:tc>
      </w:tr>
    </w:tbl>
    <w:p>
      <w:pPr>
        <w:snapToGrid w:val="0"/>
        <w:spacing w:line="560" w:lineRule="exact"/>
        <w:ind w:firstLine="482" w:firstLineChars="150"/>
        <w:jc w:val="left"/>
        <w:rPr>
          <w:rFonts w:hint="eastAsia" w:ascii="楷体" w:hAnsi="楷体" w:eastAsia="楷体" w:cs="楷体"/>
          <w:b/>
          <w:bCs/>
          <w:color w:val="auto"/>
          <w:sz w:val="32"/>
          <w:szCs w:val="32"/>
          <w:highlight w:val="none"/>
        </w:rPr>
      </w:pPr>
      <w:r>
        <w:rPr>
          <w:rFonts w:hint="eastAsia" w:ascii="楷体" w:hAnsi="楷体" w:eastAsia="楷体" w:cs="楷体"/>
          <w:b/>
          <w:bCs/>
          <w:color w:val="auto"/>
          <w:sz w:val="32"/>
          <w:szCs w:val="32"/>
          <w:highlight w:val="none"/>
        </w:rPr>
        <w:t>（二）评价结论</w:t>
      </w:r>
    </w:p>
    <w:p>
      <w:pPr>
        <w:snapToGrid w:val="0"/>
        <w:spacing w:line="560" w:lineRule="exact"/>
        <w:ind w:firstLine="640" w:firstLineChars="200"/>
        <w:jc w:val="left"/>
        <w:rPr>
          <w:rFonts w:hint="eastAsia" w:ascii="仿宋_GB2312" w:hAnsi="仿宋_GB2312" w:cs="仿宋_GB2312"/>
          <w:color w:val="auto"/>
          <w:sz w:val="32"/>
          <w:szCs w:val="32"/>
          <w:highlight w:val="none"/>
        </w:rPr>
      </w:pPr>
      <w:r>
        <w:rPr>
          <w:rFonts w:hint="eastAsia" w:ascii="仿宋_GB2312" w:hAnsi="仿宋_GB2312" w:cs="仿宋_GB2312"/>
          <w:color w:val="auto"/>
          <w:sz w:val="32"/>
          <w:szCs w:val="32"/>
          <w:highlight w:val="none"/>
          <w:lang w:eastAsia="zh-CN"/>
        </w:rPr>
        <w:t>2024年新疆西藏等地区教育特殊补助资金项目（园舍维修资金）</w:t>
      </w:r>
      <w:r>
        <w:rPr>
          <w:rFonts w:hint="eastAsia" w:ascii="仿宋_GB2312" w:hAnsi="仿宋_GB2312" w:cs="仿宋_GB2312"/>
          <w:color w:val="auto"/>
          <w:sz w:val="32"/>
          <w:szCs w:val="32"/>
          <w:highlight w:val="none"/>
        </w:rPr>
        <w:t>资金达到了年初设立的绩效目标，在实施过程中取得了良好的成效，具体表现在以下几点：</w:t>
      </w:r>
    </w:p>
    <w:p>
      <w:pPr>
        <w:snapToGrid w:val="0"/>
        <w:spacing w:line="560" w:lineRule="exact"/>
        <w:ind w:firstLine="640" w:firstLineChars="200"/>
        <w:jc w:val="left"/>
        <w:rPr>
          <w:rFonts w:hint="eastAsia"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本项目共计支出268.17万元，用于屋面防水、暖气维修、粉刷外墙及图书采购，项目涉及学校32所农村幼儿园。</w:t>
      </w:r>
    </w:p>
    <w:p>
      <w:pPr>
        <w:snapToGrid w:val="0"/>
        <w:spacing w:line="560" w:lineRule="exact"/>
        <w:ind w:firstLine="640" w:firstLineChars="200"/>
        <w:jc w:val="left"/>
        <w:rPr>
          <w:rFonts w:hint="eastAsia"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全年</w:t>
      </w:r>
      <w:r>
        <w:rPr>
          <w:rFonts w:hint="eastAsia" w:ascii="仿宋_GB2312" w:hAnsi="仿宋" w:cs="宋体"/>
          <w:color w:val="auto"/>
          <w:kern w:val="0"/>
          <w:sz w:val="32"/>
          <w:szCs w:val="32"/>
          <w:highlight w:val="none"/>
          <w:lang w:val="en-US" w:eastAsia="zh-CN" w:bidi="ar-SA"/>
        </w:rPr>
        <w:t>2024年新疆西藏等地区教育特殊补助资金项目（园舍维修资金）</w:t>
      </w:r>
      <w:r>
        <w:rPr>
          <w:rFonts w:hint="eastAsia" w:ascii="仿宋_GB2312" w:hAnsi="仿宋_GB2312" w:cs="仿宋_GB2312"/>
          <w:color w:val="auto"/>
          <w:sz w:val="32"/>
          <w:szCs w:val="32"/>
          <w:highlight w:val="none"/>
        </w:rPr>
        <w:t>支出共计</w:t>
      </w:r>
      <w:r>
        <w:rPr>
          <w:rFonts w:hint="eastAsia" w:ascii="仿宋_GB2312" w:hAnsi="仿宋_GB2312" w:cs="仿宋_GB2312"/>
          <w:color w:val="auto"/>
          <w:sz w:val="32"/>
          <w:szCs w:val="32"/>
          <w:highlight w:val="none"/>
          <w:lang w:eastAsia="zh-CN"/>
        </w:rPr>
        <w:t>268.17万元</w:t>
      </w:r>
      <w:r>
        <w:rPr>
          <w:rFonts w:hint="eastAsia" w:ascii="仿宋_GB2312" w:hAnsi="仿宋_GB2312" w:cs="仿宋_GB2312"/>
          <w:color w:val="auto"/>
          <w:sz w:val="32"/>
          <w:szCs w:val="32"/>
          <w:highlight w:val="none"/>
        </w:rPr>
        <w:t>，评价得分值</w:t>
      </w:r>
      <w:r>
        <w:rPr>
          <w:rFonts w:hint="eastAsia" w:ascii="仿宋_GB2312" w:hAnsi="仿宋_GB2312" w:cs="仿宋_GB2312"/>
          <w:color w:val="auto"/>
          <w:sz w:val="32"/>
          <w:szCs w:val="32"/>
          <w:highlight w:val="none"/>
          <w:lang w:eastAsia="zh-CN"/>
        </w:rPr>
        <w:t>99.38</w:t>
      </w:r>
      <w:r>
        <w:rPr>
          <w:rFonts w:hint="eastAsia" w:ascii="仿宋_GB2312" w:hAnsi="仿宋_GB2312" w:cs="仿宋_GB2312"/>
          <w:color w:val="auto"/>
          <w:sz w:val="32"/>
          <w:szCs w:val="32"/>
          <w:highlight w:val="none"/>
        </w:rPr>
        <w:t>分。</w:t>
      </w:r>
    </w:p>
    <w:p>
      <w:pPr>
        <w:snapToGrid w:val="0"/>
        <w:spacing w:line="560" w:lineRule="exact"/>
        <w:ind w:firstLine="640" w:firstLineChars="200"/>
        <w:rPr>
          <w:rFonts w:hint="eastAsia" w:ascii="黑体" w:hAnsi="黑体" w:eastAsia="黑体" w:cs="仿宋_GB2312"/>
          <w:color w:val="auto"/>
          <w:sz w:val="32"/>
          <w:szCs w:val="32"/>
          <w:highlight w:val="none"/>
        </w:rPr>
      </w:pPr>
      <w:r>
        <w:rPr>
          <w:rFonts w:hint="eastAsia" w:ascii="黑体" w:hAnsi="黑体" w:eastAsia="黑体" w:cs="仿宋_GB2312"/>
          <w:color w:val="auto"/>
          <w:sz w:val="32"/>
          <w:szCs w:val="32"/>
          <w:highlight w:val="none"/>
        </w:rPr>
        <w:t>四、绩效评价指标分析</w:t>
      </w:r>
    </w:p>
    <w:p>
      <w:pPr>
        <w:snapToGrid w:val="0"/>
        <w:spacing w:line="560" w:lineRule="exact"/>
        <w:ind w:firstLine="643" w:firstLineChars="200"/>
        <w:outlineLvl w:val="0"/>
        <w:rPr>
          <w:rFonts w:hint="eastAsia" w:ascii="楷体" w:hAnsi="楷体" w:eastAsia="楷体" w:cs="仿宋_GB2312"/>
          <w:b/>
          <w:bCs/>
          <w:color w:val="auto"/>
          <w:sz w:val="32"/>
          <w:szCs w:val="32"/>
          <w:highlight w:val="none"/>
        </w:rPr>
      </w:pPr>
      <w:r>
        <w:rPr>
          <w:rFonts w:hint="eastAsia" w:ascii="楷体" w:hAnsi="楷体" w:eastAsia="楷体" w:cs="仿宋_GB2312"/>
          <w:b/>
          <w:bCs/>
          <w:color w:val="auto"/>
          <w:sz w:val="32"/>
          <w:szCs w:val="32"/>
          <w:highlight w:val="none"/>
        </w:rPr>
        <w:t>（一）项目决策情况。</w:t>
      </w:r>
    </w:p>
    <w:p>
      <w:pPr>
        <w:pStyle w:val="25"/>
        <w:spacing w:line="560" w:lineRule="exact"/>
        <w:ind w:firstLine="640"/>
        <w:rPr>
          <w:rFonts w:hint="eastAsia" w:ascii="仿宋_GB2312" w:hAnsi="仿宋" w:cs="宋体"/>
          <w:color w:val="auto"/>
          <w:sz w:val="32"/>
          <w:szCs w:val="32"/>
          <w:highlight w:val="none"/>
        </w:rPr>
      </w:pPr>
      <w:r>
        <w:rPr>
          <w:rFonts w:hint="eastAsia" w:ascii="仿宋_GB2312" w:hAnsi="仿宋" w:cs="宋体"/>
          <w:color w:val="auto"/>
          <w:sz w:val="32"/>
          <w:szCs w:val="32"/>
          <w:highlight w:val="none"/>
        </w:rPr>
        <w:t>本项目的立项符合相关法规政策及部门职责，依据充分；项目</w:t>
      </w:r>
      <w:r>
        <w:rPr>
          <w:rFonts w:hint="eastAsia" w:ascii="仿宋_GB2312" w:hAnsi="仿宋" w:cs="宋体"/>
          <w:color w:val="auto"/>
          <w:sz w:val="32"/>
          <w:szCs w:val="32"/>
          <w:highlight w:val="none"/>
          <w:lang w:val="en-US" w:eastAsia="zh-CN"/>
        </w:rPr>
        <w:t>严格</w:t>
      </w:r>
      <w:r>
        <w:rPr>
          <w:rFonts w:hint="eastAsia" w:ascii="仿宋_GB2312" w:hAnsi="仿宋" w:cs="宋体"/>
          <w:color w:val="auto"/>
          <w:sz w:val="32"/>
          <w:szCs w:val="32"/>
          <w:highlight w:val="none"/>
        </w:rPr>
        <w:t>按照规定的程序申请设立；审批文件、材料符合相关要求；项目前期已经过必要的可行性研究、风险评估、绩效评估、集体决策。</w:t>
      </w:r>
    </w:p>
    <w:p>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 w:cs="宋体"/>
          <w:color w:val="auto"/>
          <w:sz w:val="32"/>
          <w:szCs w:val="32"/>
          <w:highlight w:val="none"/>
        </w:rPr>
      </w:pPr>
      <w:r>
        <w:rPr>
          <w:rFonts w:hint="eastAsia" w:ascii="仿宋_GB2312" w:hAnsi="仿宋" w:cs="宋体"/>
          <w:color w:val="auto"/>
          <w:sz w:val="32"/>
          <w:szCs w:val="32"/>
          <w:highlight w:val="none"/>
        </w:rPr>
        <w:t>项目根据相关文件要求设置了绩效目标，项目绩效目标基本合理，</w:t>
      </w:r>
      <w:r>
        <w:rPr>
          <w:rFonts w:hint="eastAsia" w:ascii="仿宋_GB2312" w:hAnsi="仿宋" w:cs="宋体"/>
          <w:color w:val="auto"/>
          <w:sz w:val="32"/>
          <w:szCs w:val="32"/>
          <w:highlight w:val="none"/>
          <w:lang w:val="en-US" w:eastAsia="zh-CN"/>
        </w:rPr>
        <w:t>绩效目标</w:t>
      </w:r>
      <w:r>
        <w:rPr>
          <w:rFonts w:hint="eastAsia" w:ascii="仿宋_GB2312" w:hAnsi="仿宋" w:cs="宋体"/>
          <w:color w:val="auto"/>
          <w:sz w:val="32"/>
          <w:szCs w:val="32"/>
          <w:highlight w:val="none"/>
        </w:rPr>
        <w:t>与实际工作内容相关；项目预期产出效益和效果符合正常的业绩水平；</w:t>
      </w:r>
      <w:r>
        <w:rPr>
          <w:rFonts w:hint="eastAsia" w:ascii="仿宋_GB2312" w:hAnsi="仿宋" w:cs="宋体"/>
          <w:color w:val="auto"/>
          <w:sz w:val="32"/>
          <w:szCs w:val="32"/>
          <w:highlight w:val="none"/>
          <w:lang w:val="en-US" w:eastAsia="zh-CN"/>
        </w:rPr>
        <w:t>目标设置</w:t>
      </w:r>
      <w:r>
        <w:rPr>
          <w:rFonts w:hint="eastAsia" w:ascii="仿宋_GB2312" w:hAnsi="仿宋" w:cs="宋体"/>
          <w:color w:val="auto"/>
          <w:sz w:val="32"/>
          <w:szCs w:val="32"/>
          <w:highlight w:val="none"/>
        </w:rPr>
        <w:t>与预算确定的项目投资额或资金量相匹配。</w:t>
      </w:r>
      <w:r>
        <w:rPr>
          <w:rFonts w:hint="eastAsia" w:ascii="仿宋_GB2312" w:hAnsi="仿宋" w:cs="宋体"/>
          <w:color w:val="auto"/>
          <w:sz w:val="32"/>
          <w:szCs w:val="32"/>
          <w:highlight w:val="none"/>
          <w:lang w:val="en-US" w:eastAsia="zh-CN"/>
        </w:rPr>
        <w:t>严格按照要求</w:t>
      </w:r>
      <w:r>
        <w:rPr>
          <w:rFonts w:hint="eastAsia" w:ascii="仿宋_GB2312" w:hAnsi="仿宋" w:cs="宋体"/>
          <w:color w:val="auto"/>
          <w:sz w:val="32"/>
          <w:szCs w:val="32"/>
          <w:highlight w:val="none"/>
        </w:rPr>
        <w:t>将项目绩效目标细化分解为具体的绩效指标</w:t>
      </w:r>
      <w:r>
        <w:rPr>
          <w:rFonts w:hint="eastAsia" w:ascii="仿宋_GB2312" w:hAnsi="仿宋" w:cs="宋体"/>
          <w:color w:val="auto"/>
          <w:sz w:val="32"/>
          <w:szCs w:val="32"/>
          <w:highlight w:val="none"/>
          <w:lang w:val="en-US" w:eastAsia="zh-CN"/>
        </w:rPr>
        <w:t>并</w:t>
      </w:r>
      <w:r>
        <w:rPr>
          <w:rFonts w:hint="eastAsia" w:ascii="仿宋_GB2312" w:hAnsi="仿宋" w:cs="宋体"/>
          <w:color w:val="auto"/>
          <w:sz w:val="32"/>
          <w:szCs w:val="32"/>
          <w:highlight w:val="none"/>
        </w:rPr>
        <w:t>通过清晰、可衡量的指标值予以体现；与项目目标任务数或计划数相对应。</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outlineLvl w:val="0"/>
        <w:rPr>
          <w:rFonts w:hint="eastAsia" w:ascii="仿宋_GB2312" w:hAnsi="仿宋_GB2312" w:eastAsia="仿宋_GB2312" w:cs="仿宋_GB2312"/>
          <w:color w:val="auto"/>
          <w:sz w:val="32"/>
          <w:szCs w:val="32"/>
          <w:highlight w:val="none"/>
          <w:lang w:eastAsia="zh-CN"/>
        </w:rPr>
      </w:pPr>
      <w:r>
        <w:rPr>
          <w:rFonts w:hint="eastAsia" w:ascii="仿宋_GB2312" w:hAnsi="仿宋" w:cs="宋体"/>
          <w:color w:val="auto"/>
          <w:sz w:val="32"/>
          <w:szCs w:val="32"/>
          <w:highlight w:val="none"/>
        </w:rPr>
        <w:t>项目在资金投入方面，预算编制经过科学论证、有明确标准，资金额度与年度目标相适应，用以反映和考核项目预算编制的科学性、合理性情况。项目预算资金分配有测算依据，与补助单位或地方实际相适应</w:t>
      </w:r>
      <w:r>
        <w:rPr>
          <w:rFonts w:hint="eastAsia" w:ascii="仿宋_GB2312" w:hAnsi="仿宋" w:cs="宋体"/>
          <w:color w:val="auto"/>
          <w:sz w:val="32"/>
          <w:szCs w:val="32"/>
          <w:highlight w:val="none"/>
          <w:lang w:eastAsia="zh-CN"/>
        </w:rPr>
        <w:t>。</w:t>
      </w:r>
    </w:p>
    <w:p>
      <w:pPr>
        <w:keepNext w:val="0"/>
        <w:keepLines w:val="0"/>
        <w:pageBreakBefore w:val="0"/>
        <w:widowControl w:val="0"/>
        <w:pBdr>
          <w:top w:val="none" w:color="auto" w:sz="0" w:space="0"/>
          <w:left w:val="none" w:color="auto" w:sz="0" w:space="0"/>
          <w:bottom w:val="none" w:color="auto" w:sz="0" w:space="31"/>
          <w:right w:val="none" w:color="auto" w:sz="0" w:space="2"/>
        </w:pBdr>
        <w:kinsoku/>
        <w:wordWrap/>
        <w:overflowPunct/>
        <w:topLinePunct w:val="0"/>
        <w:autoSpaceDE/>
        <w:autoSpaceDN w:val="0"/>
        <w:bidi w:val="0"/>
        <w:adjustRightInd w:val="0"/>
        <w:snapToGrid w:val="0"/>
        <w:spacing w:line="560" w:lineRule="exact"/>
        <w:ind w:firstLine="643" w:firstLineChars="200"/>
        <w:textAlignment w:val="auto"/>
        <w:rPr>
          <w:rFonts w:hint="eastAsia" w:ascii="楷体" w:hAnsi="楷体" w:eastAsia="楷体" w:cs="仿宋_GB2312"/>
          <w:b/>
          <w:bCs/>
          <w:color w:val="auto"/>
          <w:sz w:val="32"/>
          <w:szCs w:val="32"/>
          <w:highlight w:val="none"/>
        </w:rPr>
      </w:pPr>
      <w:r>
        <w:rPr>
          <w:rFonts w:hint="eastAsia" w:ascii="楷体" w:hAnsi="楷体" w:eastAsia="楷体" w:cs="仿宋_GB2312"/>
          <w:b/>
          <w:bCs/>
          <w:color w:val="auto"/>
          <w:sz w:val="32"/>
          <w:szCs w:val="32"/>
          <w:highlight w:val="none"/>
        </w:rPr>
        <w:t>（二）项目过程情况。</w:t>
      </w:r>
    </w:p>
    <w:p>
      <w:pPr>
        <w:keepNext w:val="0"/>
        <w:keepLines w:val="0"/>
        <w:pageBreakBefore w:val="0"/>
        <w:widowControl w:val="0"/>
        <w:pBdr>
          <w:top w:val="none" w:color="auto" w:sz="0" w:space="0"/>
          <w:left w:val="none" w:color="auto" w:sz="0" w:space="0"/>
          <w:bottom w:val="none" w:color="auto" w:sz="0" w:space="31"/>
          <w:right w:val="none" w:color="auto" w:sz="0" w:space="2"/>
        </w:pBdr>
        <w:kinsoku/>
        <w:wordWrap/>
        <w:overflowPunct/>
        <w:topLinePunct w:val="0"/>
        <w:autoSpaceDE/>
        <w:autoSpaceDN w:val="0"/>
        <w:bidi w:val="0"/>
        <w:adjustRightInd w:val="0"/>
        <w:snapToGrid w:val="0"/>
        <w:spacing w:line="560" w:lineRule="exact"/>
        <w:ind w:firstLine="643" w:firstLineChars="200"/>
        <w:textAlignment w:val="auto"/>
        <w:rPr>
          <w:rFonts w:hint="eastAsia" w:ascii="仿宋_GB2312" w:hAnsi="仿宋" w:cs="宋体"/>
          <w:b/>
          <w:color w:val="auto"/>
          <w:sz w:val="32"/>
          <w:szCs w:val="32"/>
          <w:highlight w:val="none"/>
        </w:rPr>
      </w:pPr>
      <w:r>
        <w:rPr>
          <w:rFonts w:hint="eastAsia" w:ascii="仿宋_GB2312" w:hAnsi="仿宋" w:cs="宋体"/>
          <w:b/>
          <w:color w:val="auto"/>
          <w:sz w:val="32"/>
          <w:szCs w:val="32"/>
          <w:highlight w:val="none"/>
        </w:rPr>
        <w:t>1．资金管理</w:t>
      </w:r>
    </w:p>
    <w:p>
      <w:pPr>
        <w:keepNext w:val="0"/>
        <w:keepLines w:val="0"/>
        <w:pageBreakBefore w:val="0"/>
        <w:widowControl w:val="0"/>
        <w:pBdr>
          <w:top w:val="none" w:color="auto" w:sz="0" w:space="0"/>
          <w:left w:val="none" w:color="auto" w:sz="0" w:space="0"/>
          <w:bottom w:val="none" w:color="auto" w:sz="0" w:space="31"/>
          <w:right w:val="none" w:color="auto" w:sz="0" w:space="2"/>
        </w:pBdr>
        <w:kinsoku/>
        <w:wordWrap/>
        <w:overflowPunct/>
        <w:topLinePunct w:val="0"/>
        <w:autoSpaceDE/>
        <w:autoSpaceDN w:val="0"/>
        <w:bidi w:val="0"/>
        <w:adjustRightInd w:val="0"/>
        <w:snapToGrid w:val="0"/>
        <w:spacing w:line="560" w:lineRule="exact"/>
        <w:ind w:firstLine="640" w:firstLineChars="200"/>
        <w:textAlignment w:val="auto"/>
        <w:rPr>
          <w:rFonts w:hint="eastAsia" w:ascii="仿宋_GB2312" w:hAnsi="仿宋_GB2312" w:cs="仿宋_GB2312"/>
          <w:color w:val="auto"/>
          <w:sz w:val="32"/>
          <w:szCs w:val="32"/>
          <w:highlight w:val="none"/>
        </w:rPr>
      </w:pPr>
      <w:r>
        <w:rPr>
          <w:rFonts w:hint="eastAsia" w:ascii="仿宋_GB2312" w:hAnsi="仿宋" w:cs="宋体"/>
          <w:color w:val="auto"/>
          <w:sz w:val="32"/>
          <w:szCs w:val="32"/>
          <w:highlight w:val="none"/>
        </w:rPr>
        <w:t>在资金管理方面，项目资金到位足额及时，</w:t>
      </w:r>
      <w:r>
        <w:rPr>
          <w:rFonts w:hint="eastAsia" w:ascii="仿宋_GB2312" w:hAnsi="仿宋" w:cs="宋体"/>
          <w:color w:val="auto"/>
          <w:sz w:val="32"/>
          <w:szCs w:val="32"/>
          <w:highlight w:val="none"/>
          <w:lang w:val="en-US" w:eastAsia="zh-CN"/>
        </w:rPr>
        <w:t>并</w:t>
      </w:r>
      <w:r>
        <w:rPr>
          <w:rFonts w:hint="eastAsia" w:ascii="仿宋_GB2312" w:hAnsi="仿宋" w:cs="宋体"/>
          <w:color w:val="auto"/>
          <w:sz w:val="32"/>
          <w:szCs w:val="32"/>
          <w:highlight w:val="none"/>
        </w:rPr>
        <w:t>及时支付，资金使用符合国家法规和财务管理制度；资金拨付有完整的审批程序和手续，符合项目预算批复或合同规定的用途；</w:t>
      </w:r>
      <w:r>
        <w:rPr>
          <w:rFonts w:hint="eastAsia" w:ascii="仿宋_GB2312" w:hAnsi="仿宋" w:cs="宋体"/>
          <w:color w:val="auto"/>
          <w:sz w:val="32"/>
          <w:szCs w:val="32"/>
          <w:highlight w:val="none"/>
          <w:lang w:val="en-US" w:eastAsia="zh-CN"/>
        </w:rPr>
        <w:t>不</w:t>
      </w:r>
      <w:r>
        <w:rPr>
          <w:rFonts w:hint="eastAsia" w:ascii="仿宋_GB2312" w:hAnsi="仿宋" w:cs="宋体"/>
          <w:color w:val="auto"/>
          <w:sz w:val="32"/>
          <w:szCs w:val="32"/>
          <w:highlight w:val="none"/>
        </w:rPr>
        <w:t>存在截留、挤占、挪用、虚列支出等情况。</w:t>
      </w:r>
    </w:p>
    <w:p>
      <w:pPr>
        <w:keepNext w:val="0"/>
        <w:keepLines w:val="0"/>
        <w:pageBreakBefore w:val="0"/>
        <w:widowControl w:val="0"/>
        <w:pBdr>
          <w:top w:val="none" w:color="auto" w:sz="0" w:space="0"/>
          <w:left w:val="none" w:color="auto" w:sz="0" w:space="0"/>
          <w:bottom w:val="none" w:color="auto" w:sz="0" w:space="31"/>
          <w:right w:val="none" w:color="auto" w:sz="0" w:space="2"/>
        </w:pBdr>
        <w:kinsoku/>
        <w:wordWrap/>
        <w:overflowPunct/>
        <w:topLinePunct w:val="0"/>
        <w:autoSpaceDE/>
        <w:autoSpaceDN w:val="0"/>
        <w:bidi w:val="0"/>
        <w:adjustRightInd w:val="0"/>
        <w:snapToGrid w:val="0"/>
        <w:spacing w:line="560" w:lineRule="exact"/>
        <w:ind w:firstLine="643" w:firstLineChars="200"/>
        <w:textAlignment w:val="auto"/>
        <w:rPr>
          <w:rFonts w:hint="eastAsia" w:ascii="仿宋_GB2312" w:hAnsi="仿宋" w:cs="宋体"/>
          <w:b/>
          <w:color w:val="auto"/>
          <w:sz w:val="32"/>
          <w:szCs w:val="32"/>
          <w:highlight w:val="none"/>
        </w:rPr>
      </w:pPr>
      <w:r>
        <w:rPr>
          <w:rFonts w:hint="eastAsia" w:ascii="仿宋_GB2312" w:hAnsi="仿宋" w:cs="宋体"/>
          <w:b/>
          <w:color w:val="auto"/>
          <w:sz w:val="32"/>
          <w:szCs w:val="32"/>
          <w:highlight w:val="none"/>
        </w:rPr>
        <w:t>2．项目实施</w:t>
      </w:r>
    </w:p>
    <w:p>
      <w:pPr>
        <w:keepNext w:val="0"/>
        <w:keepLines w:val="0"/>
        <w:pageBreakBefore w:val="0"/>
        <w:widowControl w:val="0"/>
        <w:pBdr>
          <w:top w:val="none" w:color="auto" w:sz="0" w:space="0"/>
          <w:left w:val="none" w:color="auto" w:sz="0" w:space="0"/>
          <w:bottom w:val="none" w:color="auto" w:sz="0" w:space="31"/>
          <w:right w:val="none" w:color="auto" w:sz="0" w:space="2"/>
        </w:pBdr>
        <w:kinsoku/>
        <w:wordWrap/>
        <w:overflowPunct/>
        <w:topLinePunct w:val="0"/>
        <w:autoSpaceDE/>
        <w:autoSpaceDN w:val="0"/>
        <w:bidi w:val="0"/>
        <w:adjustRightInd w:val="0"/>
        <w:snapToGrid w:val="0"/>
        <w:spacing w:line="560" w:lineRule="exact"/>
        <w:ind w:firstLine="640" w:firstLineChars="200"/>
        <w:textAlignment w:val="auto"/>
        <w:rPr>
          <w:rFonts w:hint="eastAsia"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（1）项目管理制度建设方面</w:t>
      </w:r>
    </w:p>
    <w:p>
      <w:pPr>
        <w:keepNext w:val="0"/>
        <w:keepLines w:val="0"/>
        <w:pageBreakBefore w:val="0"/>
        <w:widowControl w:val="0"/>
        <w:pBdr>
          <w:top w:val="none" w:color="auto" w:sz="0" w:space="0"/>
          <w:left w:val="none" w:color="auto" w:sz="0" w:space="0"/>
          <w:bottom w:val="none" w:color="auto" w:sz="0" w:space="31"/>
          <w:right w:val="none" w:color="auto" w:sz="0" w:space="2"/>
        </w:pBdr>
        <w:kinsoku/>
        <w:wordWrap/>
        <w:overflowPunct/>
        <w:topLinePunct w:val="0"/>
        <w:autoSpaceDE/>
        <w:autoSpaceDN w:val="0"/>
        <w:bidi w:val="0"/>
        <w:adjustRightInd w:val="0"/>
        <w:snapToGrid w:val="0"/>
        <w:spacing w:line="560" w:lineRule="exact"/>
        <w:ind w:firstLine="640" w:firstLineChars="200"/>
        <w:textAlignment w:val="auto"/>
        <w:rPr>
          <w:rFonts w:hint="eastAsia"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对项目申请进行严格审核、筛选。根据拟申请预算项目，从相关性、预期绩效的可实现性、实施方案的有效性、预期绩效的可持续性及财政资金投入的可行性风险五个方面进行客观、公正的评估。</w:t>
      </w:r>
    </w:p>
    <w:p>
      <w:pPr>
        <w:pBdr>
          <w:top w:val="none" w:color="auto" w:sz="0" w:space="0"/>
          <w:left w:val="none" w:color="auto" w:sz="0" w:space="0"/>
          <w:bottom w:val="none" w:color="auto" w:sz="0" w:space="31"/>
          <w:right w:val="none" w:color="auto" w:sz="0" w:space="2"/>
        </w:pBdr>
        <w:autoSpaceDN w:val="0"/>
        <w:adjustRightInd w:val="0"/>
        <w:snapToGrid w:val="0"/>
        <w:spacing w:line="560" w:lineRule="exact"/>
        <w:ind w:firstLine="640"/>
        <w:rPr>
          <w:rFonts w:hint="eastAsia"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评估结果作为申报</w:t>
      </w:r>
      <w:r>
        <w:rPr>
          <w:rFonts w:hint="eastAsia" w:ascii="仿宋_GB2312" w:hAnsi="仿宋_GB2312" w:cs="仿宋_GB2312"/>
          <w:color w:val="auto"/>
          <w:sz w:val="32"/>
          <w:szCs w:val="32"/>
          <w:highlight w:val="none"/>
          <w:lang w:eastAsia="zh-CN"/>
        </w:rPr>
        <w:t>202</w:t>
      </w:r>
      <w:r>
        <w:rPr>
          <w:rFonts w:hint="eastAsia" w:ascii="仿宋_GB2312" w:hAnsi="仿宋_GB2312" w:cs="仿宋_GB2312"/>
          <w:color w:val="auto"/>
          <w:sz w:val="32"/>
          <w:szCs w:val="32"/>
          <w:highlight w:val="none"/>
          <w:lang w:val="en-US" w:eastAsia="zh-CN"/>
        </w:rPr>
        <w:t>5年</w:t>
      </w:r>
      <w:r>
        <w:rPr>
          <w:rFonts w:hint="eastAsia" w:ascii="仿宋_GB2312" w:hAnsi="仿宋_GB2312" w:cs="仿宋_GB2312"/>
          <w:color w:val="auto"/>
          <w:sz w:val="32"/>
          <w:szCs w:val="32"/>
          <w:highlight w:val="none"/>
          <w:lang w:eastAsia="zh-CN"/>
        </w:rPr>
        <w:t>新疆西藏等地区教育特殊补助资金项目（园舍维修资金）</w:t>
      </w:r>
      <w:r>
        <w:rPr>
          <w:rFonts w:hint="eastAsia" w:ascii="仿宋_GB2312" w:hAnsi="仿宋_GB2312" w:cs="仿宋_GB2312"/>
          <w:color w:val="auto"/>
          <w:sz w:val="32"/>
          <w:szCs w:val="32"/>
          <w:highlight w:val="none"/>
        </w:rPr>
        <w:t>预算依据</w:t>
      </w:r>
      <w:r>
        <w:rPr>
          <w:rFonts w:hint="eastAsia" w:ascii="仿宋_GB2312" w:hAnsi="仿宋_GB2312" w:cs="仿宋_GB2312"/>
          <w:color w:val="auto"/>
          <w:sz w:val="32"/>
          <w:szCs w:val="32"/>
          <w:highlight w:val="none"/>
          <w:lang w:eastAsia="zh-CN"/>
        </w:rPr>
        <w:t>。</w:t>
      </w:r>
      <w:r>
        <w:rPr>
          <w:rFonts w:hint="eastAsia" w:ascii="仿宋_GB2312" w:hAnsi="仿宋_GB2312" w:cs="仿宋_GB2312"/>
          <w:color w:val="auto"/>
          <w:sz w:val="32"/>
          <w:szCs w:val="32"/>
          <w:highlight w:val="none"/>
        </w:rPr>
        <w:t>继而进行该项目支出预算的编制、执行和上报等工作。在项目预算的编制工程中，坚持履行政府职能方面的轻重缓急程度进行先后排序，坚持对</w:t>
      </w:r>
      <w:r>
        <w:rPr>
          <w:rFonts w:hint="eastAsia" w:ascii="仿宋_GB2312" w:hAnsi="仿宋_GB2312" w:cs="仿宋_GB2312"/>
          <w:color w:val="auto"/>
          <w:sz w:val="32"/>
          <w:szCs w:val="32"/>
          <w:highlight w:val="none"/>
          <w:lang w:eastAsia="zh-CN"/>
        </w:rPr>
        <w:t>2024年新疆西藏等地区教育特殊补助资金项目（园舍维修资金）</w:t>
      </w:r>
      <w:r>
        <w:rPr>
          <w:rFonts w:hint="eastAsia" w:ascii="仿宋_GB2312" w:hAnsi="仿宋_GB2312" w:cs="仿宋_GB2312"/>
          <w:color w:val="auto"/>
          <w:sz w:val="32"/>
          <w:szCs w:val="32"/>
          <w:highlight w:val="none"/>
        </w:rPr>
        <w:t>先进行论证，结合论证情况编制预算，最后由预算部门结合财力情况进行预算安排或追加。</w:t>
      </w:r>
    </w:p>
    <w:p>
      <w:pPr>
        <w:pBdr>
          <w:top w:val="none" w:color="auto" w:sz="0" w:space="0"/>
          <w:left w:val="none" w:color="auto" w:sz="0" w:space="0"/>
          <w:bottom w:val="none" w:color="auto" w:sz="0" w:space="31"/>
          <w:right w:val="none" w:color="auto" w:sz="0" w:space="2"/>
        </w:pBdr>
        <w:autoSpaceDN w:val="0"/>
        <w:adjustRightInd w:val="0"/>
        <w:snapToGrid w:val="0"/>
        <w:spacing w:line="560" w:lineRule="exact"/>
        <w:ind w:firstLine="640"/>
        <w:rPr>
          <w:rFonts w:hint="eastAsia"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（2）日常检查监督管理方面</w:t>
      </w:r>
    </w:p>
    <w:p>
      <w:pPr>
        <w:pBdr>
          <w:top w:val="none" w:color="auto" w:sz="0" w:space="0"/>
          <w:left w:val="none" w:color="auto" w:sz="0" w:space="0"/>
          <w:bottom w:val="none" w:color="auto" w:sz="0" w:space="31"/>
          <w:right w:val="none" w:color="auto" w:sz="0" w:space="2"/>
        </w:pBdr>
        <w:autoSpaceDN w:val="0"/>
        <w:adjustRightInd w:val="0"/>
        <w:snapToGrid w:val="0"/>
        <w:spacing w:line="560" w:lineRule="exact"/>
        <w:ind w:firstLine="640" w:firstLineChars="200"/>
        <w:rPr>
          <w:rFonts w:hint="eastAsia"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完善监管规章制度。在项目预算的执行过程中，会同</w:t>
      </w:r>
      <w:r>
        <w:rPr>
          <w:rFonts w:hint="eastAsia" w:ascii="仿宋_GB2312" w:hAnsi="仿宋_GB2312" w:cs="仿宋_GB2312"/>
          <w:color w:val="auto"/>
          <w:sz w:val="32"/>
          <w:szCs w:val="32"/>
          <w:highlight w:val="none"/>
          <w:lang w:val="en-US" w:eastAsia="zh-CN"/>
        </w:rPr>
        <w:t>阿图什市</w:t>
      </w:r>
      <w:r>
        <w:rPr>
          <w:rFonts w:hint="eastAsia" w:ascii="仿宋_GB2312" w:hAnsi="仿宋_GB2312" w:cs="仿宋_GB2312"/>
          <w:color w:val="auto"/>
          <w:sz w:val="32"/>
          <w:szCs w:val="32"/>
          <w:highlight w:val="none"/>
        </w:rPr>
        <w:t>财政局从资金申请、资金使用、会计核算三个环节加强资金管理。在项目资金申请环节，负责科室严格按照国库集中支付流程向市财政局申请财政资金，我局通过召开党组会议确定</w:t>
      </w:r>
      <w:r>
        <w:rPr>
          <w:rFonts w:hint="eastAsia" w:ascii="仿宋_GB2312" w:hAnsi="仿宋_GB2312" w:cs="仿宋_GB2312"/>
          <w:color w:val="auto"/>
          <w:sz w:val="32"/>
          <w:szCs w:val="32"/>
          <w:highlight w:val="none"/>
          <w:lang w:eastAsia="zh-CN"/>
        </w:rPr>
        <w:t>2024年新疆西藏等地区教育特殊补助资金项目（园舍维修资金）</w:t>
      </w:r>
      <w:r>
        <w:rPr>
          <w:rFonts w:hint="eastAsia" w:ascii="仿宋_GB2312" w:hAnsi="仿宋_GB2312" w:cs="仿宋_GB2312"/>
          <w:color w:val="auto"/>
          <w:sz w:val="32"/>
          <w:szCs w:val="32"/>
          <w:highlight w:val="none"/>
        </w:rPr>
        <w:t>组织形式，明确了该项目经费的开支范围为用于32所农村幼儿园屋面防水、暖气维修、粉刷外墙及图书采购，严格做到专款专用，责任到人。在资金使用环节，严格遵守相关规定，严格按照我局资金财务审批流程办理款项支付。在会计核算环节，对本项目资金实际单独核算，确保</w:t>
      </w:r>
      <w:r>
        <w:rPr>
          <w:rFonts w:hint="eastAsia" w:ascii="仿宋_GB2312" w:hAnsi="仿宋_GB2312" w:cs="仿宋_GB2312"/>
          <w:color w:val="auto"/>
          <w:sz w:val="32"/>
          <w:szCs w:val="32"/>
          <w:highlight w:val="none"/>
          <w:lang w:val="en-US" w:eastAsia="zh-CN"/>
        </w:rPr>
        <w:t>专项</w:t>
      </w:r>
      <w:r>
        <w:rPr>
          <w:rFonts w:hint="eastAsia" w:ascii="仿宋_GB2312" w:hAnsi="仿宋_GB2312" w:cs="仿宋_GB2312"/>
          <w:color w:val="auto"/>
          <w:sz w:val="32"/>
          <w:szCs w:val="32"/>
          <w:highlight w:val="none"/>
        </w:rPr>
        <w:t>资金专款专用。</w:t>
      </w:r>
    </w:p>
    <w:p>
      <w:pPr>
        <w:pBdr>
          <w:top w:val="none" w:color="auto" w:sz="0" w:space="0"/>
          <w:left w:val="none" w:color="auto" w:sz="0" w:space="0"/>
          <w:bottom w:val="none" w:color="auto" w:sz="0" w:space="31"/>
          <w:right w:val="none" w:color="auto" w:sz="0" w:space="2"/>
        </w:pBdr>
        <w:autoSpaceDN w:val="0"/>
        <w:adjustRightInd w:val="0"/>
        <w:snapToGrid w:val="0"/>
        <w:spacing w:line="560" w:lineRule="exact"/>
        <w:ind w:firstLine="640" w:firstLineChars="200"/>
        <w:rPr>
          <w:rFonts w:hint="eastAsia"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（3）运用财务内控系统实时监管</w:t>
      </w:r>
    </w:p>
    <w:p>
      <w:pPr>
        <w:pBdr>
          <w:top w:val="none" w:color="auto" w:sz="0" w:space="0"/>
          <w:left w:val="none" w:color="auto" w:sz="0" w:space="0"/>
          <w:bottom w:val="none" w:color="auto" w:sz="0" w:space="31"/>
          <w:right w:val="none" w:color="auto" w:sz="0" w:space="2"/>
        </w:pBdr>
        <w:autoSpaceDN w:val="0"/>
        <w:adjustRightInd w:val="0"/>
        <w:snapToGrid w:val="0"/>
        <w:spacing w:line="560" w:lineRule="exact"/>
        <w:ind w:firstLine="640" w:firstLineChars="200"/>
        <w:rPr>
          <w:rFonts w:hint="eastAsia"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年初将财政批复的</w:t>
      </w:r>
      <w:r>
        <w:rPr>
          <w:rFonts w:hint="eastAsia" w:ascii="仿宋_GB2312" w:hAnsi="仿宋_GB2312" w:cs="仿宋_GB2312"/>
          <w:color w:val="auto"/>
          <w:sz w:val="32"/>
          <w:szCs w:val="32"/>
          <w:highlight w:val="none"/>
          <w:lang w:val="en-US" w:eastAsia="zh-CN"/>
        </w:rPr>
        <w:t>专项</w:t>
      </w:r>
      <w:r>
        <w:rPr>
          <w:rFonts w:hint="eastAsia" w:ascii="仿宋_GB2312" w:hAnsi="仿宋_GB2312" w:cs="仿宋_GB2312"/>
          <w:color w:val="auto"/>
          <w:sz w:val="32"/>
          <w:szCs w:val="32"/>
          <w:highlight w:val="none"/>
        </w:rPr>
        <w:t>资金预算指标整体导入，对预算指标按照项目分类，从数量、质量、时效、满意度等方面分别进行管理控制，监控、掌握预算实时信息，通过不定期检查预算执行情况，增强预算指标刚性。</w:t>
      </w:r>
    </w:p>
    <w:p>
      <w:pPr>
        <w:pBdr>
          <w:top w:val="none" w:color="auto" w:sz="0" w:space="0"/>
          <w:left w:val="none" w:color="auto" w:sz="0" w:space="0"/>
          <w:bottom w:val="none" w:color="auto" w:sz="0" w:space="31"/>
          <w:right w:val="none" w:color="auto" w:sz="0" w:space="2"/>
        </w:pBdr>
        <w:autoSpaceDN w:val="0"/>
        <w:adjustRightInd w:val="0"/>
        <w:snapToGrid w:val="0"/>
        <w:spacing w:line="560" w:lineRule="exact"/>
        <w:ind w:firstLine="640" w:firstLineChars="200"/>
        <w:rPr>
          <w:rFonts w:hint="eastAsia"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（4）严格按照政府采购制度规范实施政府采购。对于需要实施政府采购的活动，严格实施、履行采购手续，根据</w:t>
      </w:r>
      <w:r>
        <w:rPr>
          <w:rFonts w:hint="eastAsia" w:ascii="仿宋_GB2312" w:hAnsi="仿宋_GB2312" w:cs="仿宋_GB2312"/>
          <w:color w:val="auto"/>
          <w:sz w:val="32"/>
          <w:szCs w:val="32"/>
          <w:highlight w:val="none"/>
          <w:lang w:eastAsia="zh-CN"/>
        </w:rPr>
        <w:t>2024年新疆西藏等地区教育特殊补助资金项目（园舍维修资金）</w:t>
      </w:r>
      <w:r>
        <w:rPr>
          <w:rFonts w:hint="eastAsia" w:ascii="仿宋_GB2312" w:hAnsi="仿宋_GB2312" w:cs="仿宋_GB2312"/>
          <w:color w:val="auto"/>
          <w:sz w:val="32"/>
          <w:szCs w:val="32"/>
          <w:highlight w:val="none"/>
          <w:lang w:val="en-US" w:eastAsia="zh-CN"/>
        </w:rPr>
        <w:t>的采购</w:t>
      </w:r>
      <w:r>
        <w:rPr>
          <w:rFonts w:hint="eastAsia" w:ascii="仿宋_GB2312" w:hAnsi="仿宋_GB2312" w:cs="仿宋_GB2312"/>
          <w:color w:val="auto"/>
          <w:sz w:val="32"/>
          <w:szCs w:val="32"/>
          <w:highlight w:val="none"/>
        </w:rPr>
        <w:t>需求，选择合规可行的采购形式，并组织专家评审或公开招标，将采购政策、采购程序、采购过程规范化、透明化，提升</w:t>
      </w:r>
      <w:r>
        <w:rPr>
          <w:rFonts w:hint="eastAsia" w:ascii="仿宋_GB2312" w:hAnsi="仿宋_GB2312" w:cs="仿宋_GB2312"/>
          <w:color w:val="auto"/>
          <w:sz w:val="32"/>
          <w:szCs w:val="32"/>
          <w:highlight w:val="none"/>
          <w:lang w:val="en-US" w:eastAsia="zh-CN"/>
        </w:rPr>
        <w:t>财政</w:t>
      </w:r>
      <w:r>
        <w:rPr>
          <w:rFonts w:hint="eastAsia" w:ascii="仿宋_GB2312" w:hAnsi="仿宋_GB2312" w:cs="仿宋_GB2312"/>
          <w:color w:val="auto"/>
          <w:sz w:val="32"/>
          <w:szCs w:val="32"/>
          <w:highlight w:val="none"/>
        </w:rPr>
        <w:t>专项资金的使用效果。</w:t>
      </w:r>
    </w:p>
    <w:p>
      <w:pPr>
        <w:pBdr>
          <w:top w:val="none" w:color="auto" w:sz="0" w:space="0"/>
          <w:left w:val="none" w:color="auto" w:sz="0" w:space="0"/>
          <w:bottom w:val="none" w:color="auto" w:sz="0" w:space="31"/>
          <w:right w:val="none" w:color="auto" w:sz="0" w:space="2"/>
        </w:pBdr>
        <w:autoSpaceDN w:val="0"/>
        <w:adjustRightInd w:val="0"/>
        <w:snapToGrid w:val="0"/>
        <w:spacing w:line="560" w:lineRule="exact"/>
        <w:ind w:firstLine="640" w:firstLineChars="200"/>
        <w:rPr>
          <w:rFonts w:hint="eastAsia"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（5）依照财政资金管理制度，按照不定期检查与项目周期检查相结合的方式，对</w:t>
      </w:r>
      <w:r>
        <w:rPr>
          <w:rFonts w:hint="eastAsia" w:ascii="仿宋_GB2312" w:hAnsi="仿宋_GB2312" w:cs="仿宋_GB2312"/>
          <w:color w:val="auto"/>
          <w:sz w:val="32"/>
          <w:szCs w:val="32"/>
          <w:highlight w:val="none"/>
          <w:lang w:val="en-US" w:eastAsia="zh-CN"/>
        </w:rPr>
        <w:t>专项</w:t>
      </w:r>
      <w:r>
        <w:rPr>
          <w:rFonts w:hint="eastAsia" w:ascii="仿宋_GB2312" w:hAnsi="仿宋_GB2312" w:cs="仿宋_GB2312"/>
          <w:color w:val="auto"/>
          <w:sz w:val="32"/>
          <w:szCs w:val="32"/>
          <w:highlight w:val="none"/>
        </w:rPr>
        <w:t>资金的使用情况进行监督检查。重点督查专项资金的使用进度，资金落实情况，对发现的问题，采取措施及时纠正、强化管理，确保</w:t>
      </w:r>
      <w:r>
        <w:rPr>
          <w:rFonts w:hint="eastAsia" w:ascii="仿宋_GB2312" w:hAnsi="仿宋_GB2312" w:cs="仿宋_GB2312"/>
          <w:color w:val="auto"/>
          <w:sz w:val="32"/>
          <w:szCs w:val="32"/>
          <w:highlight w:val="none"/>
          <w:lang w:val="en-US" w:eastAsia="zh-CN"/>
        </w:rPr>
        <w:t>专项</w:t>
      </w:r>
      <w:r>
        <w:rPr>
          <w:rFonts w:hint="eastAsia" w:ascii="仿宋_GB2312" w:hAnsi="仿宋_GB2312" w:cs="仿宋_GB2312"/>
          <w:color w:val="auto"/>
          <w:sz w:val="32"/>
          <w:szCs w:val="32"/>
          <w:highlight w:val="none"/>
        </w:rPr>
        <w:t>资金安全使用。</w:t>
      </w:r>
    </w:p>
    <w:p>
      <w:pPr>
        <w:pBdr>
          <w:top w:val="none" w:color="auto" w:sz="0" w:space="0"/>
          <w:left w:val="none" w:color="auto" w:sz="0" w:space="0"/>
          <w:bottom w:val="none" w:color="auto" w:sz="0" w:space="31"/>
          <w:right w:val="none" w:color="auto" w:sz="0" w:space="2"/>
        </w:pBdr>
        <w:autoSpaceDN w:val="0"/>
        <w:adjustRightInd w:val="0"/>
        <w:snapToGrid w:val="0"/>
        <w:spacing w:line="560" w:lineRule="exact"/>
        <w:ind w:firstLine="640" w:firstLineChars="200"/>
        <w:jc w:val="left"/>
        <w:rPr>
          <w:rFonts w:hint="eastAsia" w:ascii="仿宋_GB2312" w:hAnsi="仿宋_GB2312" w:cs="仿宋_GB2312"/>
          <w:color w:val="auto"/>
          <w:sz w:val="32"/>
          <w:szCs w:val="32"/>
          <w:highlight w:val="none"/>
        </w:rPr>
      </w:pPr>
      <w:r>
        <w:rPr>
          <w:rFonts w:hint="eastAsia" w:ascii="仿宋_GB2312" w:hAnsi="仿宋_GB2312" w:cs="仿宋_GB2312"/>
          <w:color w:val="auto"/>
          <w:sz w:val="32"/>
          <w:szCs w:val="32"/>
          <w:highlight w:val="none"/>
          <w:lang w:eastAsia="zh-CN"/>
        </w:rPr>
        <w:t>2024年新疆西藏等地区教育特殊补助资金项目（园舍维修资金）</w:t>
      </w:r>
      <w:r>
        <w:rPr>
          <w:rFonts w:hint="eastAsia" w:ascii="仿宋_GB2312" w:hAnsi="仿宋_GB2312" w:cs="仿宋_GB2312"/>
          <w:color w:val="auto"/>
          <w:sz w:val="32"/>
          <w:szCs w:val="32"/>
          <w:highlight w:val="none"/>
        </w:rPr>
        <w:t>在实施阶段均制定了具体的组织实施文件，各个项目均经过项目申报、项目评审、项目核准备案、采购招标、资金拨付、项目验收等流程。其中项目申报环节以文件的形式下发申报指南，明确资金支付范围和重点、支持条件、组织方式和申报要求。项目后期管理环节包括监督、检查项目的执行情况，协调解决项目执行中的重大问题，保障项目按进度正常进行、组织项目验收等。</w:t>
      </w:r>
    </w:p>
    <w:p>
      <w:pPr>
        <w:pBdr>
          <w:top w:val="none" w:color="auto" w:sz="0" w:space="0"/>
          <w:left w:val="none" w:color="auto" w:sz="0" w:space="0"/>
          <w:bottom w:val="none" w:color="auto" w:sz="0" w:space="31"/>
          <w:right w:val="none" w:color="auto" w:sz="0" w:space="2"/>
        </w:pBdr>
        <w:autoSpaceDN w:val="0"/>
        <w:adjustRightInd w:val="0"/>
        <w:snapToGrid w:val="0"/>
        <w:spacing w:line="560" w:lineRule="exact"/>
        <w:ind w:firstLine="640" w:firstLineChars="200"/>
        <w:jc w:val="left"/>
        <w:rPr>
          <w:rFonts w:hint="eastAsia"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本次评价认为：该项目组织机构设置合理，政策及管理办法基本完善，所有项目均按照流程执行，中期有检查，后期有验收。</w:t>
      </w:r>
    </w:p>
    <w:p>
      <w:pPr>
        <w:pBdr>
          <w:top w:val="none" w:color="auto" w:sz="0" w:space="0"/>
          <w:left w:val="none" w:color="auto" w:sz="0" w:space="0"/>
          <w:bottom w:val="none" w:color="auto" w:sz="0" w:space="31"/>
          <w:right w:val="none" w:color="auto" w:sz="0" w:space="2"/>
        </w:pBdr>
        <w:autoSpaceDN w:val="0"/>
        <w:adjustRightInd w:val="0"/>
        <w:snapToGrid w:val="0"/>
        <w:spacing w:line="560" w:lineRule="exact"/>
        <w:ind w:firstLine="643" w:firstLineChars="200"/>
        <w:rPr>
          <w:rFonts w:hint="eastAsia" w:ascii="楷体" w:hAnsi="楷体" w:eastAsia="楷体" w:cs="仿宋_GB2312"/>
          <w:b/>
          <w:bCs w:val="0"/>
          <w:color w:val="auto"/>
          <w:sz w:val="32"/>
          <w:szCs w:val="32"/>
          <w:highlight w:val="none"/>
        </w:rPr>
      </w:pPr>
      <w:r>
        <w:rPr>
          <w:rFonts w:hint="eastAsia" w:ascii="楷体" w:hAnsi="楷体" w:eastAsia="楷体" w:cs="仿宋_GB2312"/>
          <w:b/>
          <w:bCs w:val="0"/>
          <w:color w:val="auto"/>
          <w:sz w:val="32"/>
          <w:szCs w:val="32"/>
          <w:highlight w:val="none"/>
        </w:rPr>
        <w:t>（三）项目产出情况</w:t>
      </w:r>
    </w:p>
    <w:p>
      <w:pPr>
        <w:pageBreakBefore w:val="0"/>
        <w:widowControl w:val="0"/>
        <w:pBdr>
          <w:top w:val="none" w:color="auto" w:sz="0" w:space="0"/>
          <w:left w:val="none" w:color="auto" w:sz="0" w:space="0"/>
          <w:bottom w:val="none" w:color="auto" w:sz="0" w:space="31"/>
          <w:right w:val="none" w:color="auto" w:sz="0" w:space="2"/>
        </w:pBdr>
        <w:kinsoku/>
        <w:wordWrap/>
        <w:overflowPunct/>
        <w:topLinePunct w:val="0"/>
        <w:autoSpaceDE/>
        <w:autoSpaceDN w:val="0"/>
        <w:bidi w:val="0"/>
        <w:adjustRightInd w:val="0"/>
        <w:snapToGrid w:val="0"/>
        <w:spacing w:line="560" w:lineRule="exact"/>
        <w:ind w:firstLine="643" w:firstLineChars="200"/>
        <w:jc w:val="both"/>
        <w:textAlignment w:val="auto"/>
        <w:rPr>
          <w:rFonts w:hint="eastAsia" w:ascii="仿宋_GB2312" w:hAnsi="仿宋_GB2312" w:cs="仿宋_GB2312"/>
          <w:b/>
          <w:bCs/>
          <w:color w:val="auto"/>
          <w:sz w:val="32"/>
          <w:szCs w:val="32"/>
          <w:highlight w:val="none"/>
        </w:rPr>
      </w:pPr>
      <w:r>
        <w:rPr>
          <w:rFonts w:hint="eastAsia" w:ascii="仿宋_GB2312" w:hAnsi="仿宋_GB2312" w:cs="仿宋_GB2312"/>
          <w:b/>
          <w:bCs/>
          <w:color w:val="auto"/>
          <w:sz w:val="32"/>
          <w:szCs w:val="32"/>
          <w:highlight w:val="none"/>
        </w:rPr>
        <w:t>1．数量指标</w:t>
      </w:r>
    </w:p>
    <w:p>
      <w:pPr>
        <w:keepNext w:val="0"/>
        <w:keepLines w:val="0"/>
        <w:pageBreakBefore w:val="0"/>
        <w:widowControl w:val="0"/>
        <w:numPr>
          <w:ilvl w:val="0"/>
          <w:numId w:val="0"/>
        </w:numPr>
        <w:pBdr>
          <w:top w:val="none" w:color="auto" w:sz="0" w:space="0"/>
          <w:left w:val="none" w:color="auto" w:sz="0" w:space="0"/>
          <w:bottom w:val="none" w:color="auto" w:sz="0" w:space="31"/>
          <w:right w:val="none" w:color="auto" w:sz="0" w:space="2"/>
        </w:pBdr>
        <w:kinsoku/>
        <w:wordWrap/>
        <w:overflowPunct/>
        <w:topLinePunct w:val="0"/>
        <w:autoSpaceDE/>
        <w:autoSpaceDN w:val="0"/>
        <w:bidi w:val="0"/>
        <w:adjustRightInd w:val="0"/>
        <w:snapToGrid w:val="0"/>
        <w:spacing w:line="560" w:lineRule="exact"/>
        <w:ind w:firstLine="640" w:firstLineChars="200"/>
        <w:jc w:val="both"/>
        <w:textAlignment w:val="auto"/>
        <w:rPr>
          <w:rFonts w:hint="eastAsia" w:ascii="仿宋_GB2312"/>
          <w:color w:val="auto"/>
          <w:sz w:val="32"/>
          <w:szCs w:val="32"/>
          <w:highlight w:val="none"/>
        </w:rPr>
      </w:pPr>
      <w:r>
        <w:rPr>
          <w:rFonts w:hint="eastAsia" w:ascii="仿宋_GB2312" w:hAnsi="仿宋_GB2312" w:cs="仿宋_GB2312"/>
          <w:color w:val="auto"/>
          <w:sz w:val="32"/>
          <w:szCs w:val="32"/>
          <w:highlight w:val="none"/>
        </w:rPr>
        <w:t>数量指标为涉及农村幼儿园数量，预期指标值为大于等于32所，实际完成值为32所，指标达到预期目标。</w:t>
      </w:r>
    </w:p>
    <w:p>
      <w:pPr>
        <w:keepNext w:val="0"/>
        <w:keepLines w:val="0"/>
        <w:pageBreakBefore w:val="0"/>
        <w:widowControl w:val="0"/>
        <w:numPr>
          <w:ilvl w:val="0"/>
          <w:numId w:val="0"/>
        </w:numPr>
        <w:pBdr>
          <w:top w:val="none" w:color="auto" w:sz="0" w:space="0"/>
          <w:left w:val="none" w:color="auto" w:sz="0" w:space="0"/>
          <w:bottom w:val="none" w:color="auto" w:sz="0" w:space="31"/>
          <w:right w:val="none" w:color="auto" w:sz="0" w:space="2"/>
        </w:pBdr>
        <w:kinsoku/>
        <w:wordWrap/>
        <w:overflowPunct/>
        <w:topLinePunct w:val="0"/>
        <w:autoSpaceDE/>
        <w:autoSpaceDN w:val="0"/>
        <w:bidi w:val="0"/>
        <w:adjustRightInd w:val="0"/>
        <w:snapToGrid w:val="0"/>
        <w:spacing w:line="560" w:lineRule="exact"/>
        <w:ind w:firstLine="643" w:firstLineChars="200"/>
        <w:jc w:val="both"/>
        <w:textAlignment w:val="auto"/>
        <w:rPr>
          <w:rFonts w:hint="eastAsia" w:ascii="仿宋_GB2312"/>
          <w:color w:val="auto"/>
          <w:sz w:val="32"/>
          <w:szCs w:val="32"/>
          <w:highlight w:val="none"/>
        </w:rPr>
      </w:pPr>
      <w:r>
        <w:rPr>
          <w:rFonts w:hint="default" w:ascii="仿宋_GB2312" w:eastAsia="仿宋_GB2312"/>
          <w:b/>
          <w:bCs/>
          <w:color w:val="auto"/>
          <w:kern w:val="2"/>
          <w:sz w:val="32"/>
          <w:szCs w:val="32"/>
          <w:highlight w:val="none"/>
          <w:lang w:val="en-US" w:eastAsia="zh-CN" w:bidi="ar-SA"/>
        </w:rPr>
        <w:t>2．</w:t>
      </w:r>
      <w:r>
        <w:rPr>
          <w:rFonts w:hint="eastAsia" w:ascii="仿宋_GB2312"/>
          <w:b/>
          <w:bCs w:val="0"/>
          <w:color w:val="auto"/>
          <w:sz w:val="32"/>
          <w:szCs w:val="32"/>
          <w:highlight w:val="none"/>
        </w:rPr>
        <w:t>质量指标</w:t>
      </w:r>
    </w:p>
    <w:p>
      <w:pPr>
        <w:keepNext w:val="0"/>
        <w:keepLines w:val="0"/>
        <w:pageBreakBefore w:val="0"/>
        <w:widowControl w:val="0"/>
        <w:numPr>
          <w:ilvl w:val="0"/>
          <w:numId w:val="0"/>
        </w:numPr>
        <w:pBdr>
          <w:top w:val="none" w:color="auto" w:sz="0" w:space="0"/>
          <w:left w:val="none" w:color="auto" w:sz="0" w:space="0"/>
          <w:bottom w:val="none" w:color="auto" w:sz="0" w:space="31"/>
          <w:right w:val="none" w:color="auto" w:sz="0" w:space="2"/>
        </w:pBdr>
        <w:kinsoku/>
        <w:wordWrap/>
        <w:overflowPunct/>
        <w:topLinePunct w:val="0"/>
        <w:autoSpaceDE/>
        <w:autoSpaceDN w:val="0"/>
        <w:bidi w:val="0"/>
        <w:adjustRightInd w:val="0"/>
        <w:snapToGrid w:val="0"/>
        <w:spacing w:line="560" w:lineRule="exact"/>
        <w:ind w:firstLine="640" w:firstLineChars="200"/>
        <w:jc w:val="both"/>
        <w:textAlignment w:val="auto"/>
        <w:rPr>
          <w:rFonts w:hint="eastAsia" w:ascii="仿宋_GB2312"/>
          <w:color w:val="auto"/>
          <w:sz w:val="32"/>
          <w:szCs w:val="32"/>
          <w:highlight w:val="none"/>
        </w:rPr>
      </w:pPr>
      <w:r>
        <w:rPr>
          <w:rFonts w:hint="eastAsia" w:ascii="仿宋_GB2312"/>
          <w:color w:val="auto"/>
          <w:sz w:val="32"/>
          <w:szCs w:val="32"/>
          <w:highlight w:val="none"/>
        </w:rPr>
        <w:t>质量指标为教材合格率，预期指标值为等于100%，实际完成值为100%，指标达到预期目标。</w:t>
      </w:r>
    </w:p>
    <w:p>
      <w:pPr>
        <w:keepNext w:val="0"/>
        <w:keepLines w:val="0"/>
        <w:pageBreakBefore w:val="0"/>
        <w:widowControl w:val="0"/>
        <w:numPr>
          <w:ilvl w:val="0"/>
          <w:numId w:val="0"/>
        </w:numPr>
        <w:pBdr>
          <w:top w:val="none" w:color="auto" w:sz="0" w:space="0"/>
          <w:left w:val="none" w:color="auto" w:sz="0" w:space="0"/>
          <w:bottom w:val="none" w:color="auto" w:sz="0" w:space="31"/>
          <w:right w:val="none" w:color="auto" w:sz="0" w:space="2"/>
        </w:pBdr>
        <w:kinsoku/>
        <w:wordWrap/>
        <w:overflowPunct/>
        <w:topLinePunct w:val="0"/>
        <w:autoSpaceDE/>
        <w:autoSpaceDN w:val="0"/>
        <w:bidi w:val="0"/>
        <w:adjustRightInd w:val="0"/>
        <w:snapToGrid w:val="0"/>
        <w:spacing w:line="560" w:lineRule="exact"/>
        <w:ind w:firstLine="640" w:firstLineChars="200"/>
        <w:jc w:val="both"/>
        <w:textAlignment w:val="auto"/>
        <w:rPr>
          <w:rFonts w:hint="eastAsia" w:ascii="仿宋_GB2312"/>
          <w:color w:val="auto"/>
          <w:sz w:val="32"/>
          <w:szCs w:val="32"/>
          <w:highlight w:val="none"/>
        </w:rPr>
      </w:pPr>
      <w:r>
        <w:rPr>
          <w:rFonts w:hint="eastAsia" w:ascii="仿宋_GB2312"/>
          <w:color w:val="auto"/>
          <w:sz w:val="32"/>
          <w:szCs w:val="32"/>
          <w:highlight w:val="none"/>
        </w:rPr>
        <w:t>质量指标为工程质量验收合格率，预期指标值为等于100%，实际完成值为100%，指标达到预期目标。</w:t>
      </w:r>
    </w:p>
    <w:p>
      <w:pPr>
        <w:keepNext w:val="0"/>
        <w:keepLines w:val="0"/>
        <w:pageBreakBefore w:val="0"/>
        <w:widowControl w:val="0"/>
        <w:numPr>
          <w:ilvl w:val="0"/>
          <w:numId w:val="0"/>
        </w:numPr>
        <w:pBdr>
          <w:top w:val="none" w:color="auto" w:sz="0" w:space="0"/>
          <w:left w:val="none" w:color="auto" w:sz="0" w:space="0"/>
          <w:bottom w:val="none" w:color="auto" w:sz="0" w:space="31"/>
          <w:right w:val="none" w:color="auto" w:sz="0" w:space="2"/>
        </w:pBdr>
        <w:kinsoku/>
        <w:wordWrap/>
        <w:overflowPunct/>
        <w:topLinePunct w:val="0"/>
        <w:autoSpaceDE/>
        <w:autoSpaceDN w:val="0"/>
        <w:bidi w:val="0"/>
        <w:adjustRightInd w:val="0"/>
        <w:snapToGrid w:val="0"/>
        <w:spacing w:line="560" w:lineRule="exact"/>
        <w:ind w:left="0" w:leftChars="0" w:firstLine="643" w:firstLineChars="200"/>
        <w:jc w:val="both"/>
        <w:textAlignment w:val="auto"/>
        <w:rPr>
          <w:rFonts w:hint="eastAsia" w:ascii="仿宋_GB2312"/>
          <w:color w:val="auto"/>
          <w:sz w:val="32"/>
          <w:szCs w:val="32"/>
          <w:highlight w:val="none"/>
        </w:rPr>
      </w:pPr>
      <w:r>
        <w:rPr>
          <w:rFonts w:hint="default" w:ascii="仿宋_GB2312" w:eastAsia="仿宋_GB2312"/>
          <w:b/>
          <w:bCs/>
          <w:color w:val="auto"/>
          <w:kern w:val="2"/>
          <w:sz w:val="32"/>
          <w:szCs w:val="32"/>
          <w:highlight w:val="none"/>
          <w:lang w:val="en-US" w:eastAsia="zh-CN" w:bidi="ar-SA"/>
        </w:rPr>
        <w:t>3．</w:t>
      </w:r>
      <w:r>
        <w:rPr>
          <w:rFonts w:hint="eastAsia" w:ascii="仿宋_GB2312"/>
          <w:b/>
          <w:color w:val="auto"/>
          <w:sz w:val="32"/>
          <w:szCs w:val="32"/>
          <w:highlight w:val="none"/>
        </w:rPr>
        <w:t>时效指标</w:t>
      </w:r>
    </w:p>
    <w:p>
      <w:pPr>
        <w:keepNext w:val="0"/>
        <w:keepLines w:val="0"/>
        <w:pageBreakBefore w:val="0"/>
        <w:widowControl w:val="0"/>
        <w:numPr>
          <w:ilvl w:val="0"/>
          <w:numId w:val="0"/>
        </w:numPr>
        <w:pBdr>
          <w:top w:val="none" w:color="auto" w:sz="0" w:space="0"/>
          <w:left w:val="none" w:color="auto" w:sz="0" w:space="0"/>
          <w:bottom w:val="none" w:color="auto" w:sz="0" w:space="31"/>
          <w:right w:val="none" w:color="auto" w:sz="0" w:space="2"/>
        </w:pBdr>
        <w:kinsoku/>
        <w:wordWrap/>
        <w:overflowPunct/>
        <w:topLinePunct w:val="0"/>
        <w:autoSpaceDE/>
        <w:autoSpaceDN w:val="0"/>
        <w:bidi w:val="0"/>
        <w:adjustRightInd w:val="0"/>
        <w:snapToGrid w:val="0"/>
        <w:spacing w:line="560" w:lineRule="exact"/>
        <w:ind w:firstLine="640" w:firstLineChars="200"/>
        <w:jc w:val="both"/>
        <w:textAlignment w:val="auto"/>
        <w:rPr>
          <w:rFonts w:hint="eastAsia" w:ascii="仿宋_GB2312"/>
          <w:color w:val="auto"/>
          <w:sz w:val="32"/>
          <w:szCs w:val="32"/>
          <w:highlight w:val="none"/>
        </w:rPr>
      </w:pPr>
      <w:r>
        <w:rPr>
          <w:rFonts w:hint="eastAsia" w:ascii="仿宋_GB2312"/>
          <w:color w:val="auto"/>
          <w:sz w:val="32"/>
          <w:szCs w:val="32"/>
          <w:highlight w:val="none"/>
        </w:rPr>
        <w:t>时效指标为幼儿园维修改造项目完成率，预期指标值为大于等于70%，实际完成值为70%，指标达到预期目标。</w:t>
      </w:r>
    </w:p>
    <w:p>
      <w:pPr>
        <w:keepNext w:val="0"/>
        <w:keepLines w:val="0"/>
        <w:pageBreakBefore w:val="0"/>
        <w:widowControl w:val="0"/>
        <w:numPr>
          <w:ilvl w:val="0"/>
          <w:numId w:val="0"/>
        </w:numPr>
        <w:pBdr>
          <w:top w:val="none" w:color="auto" w:sz="0" w:space="0"/>
          <w:left w:val="none" w:color="auto" w:sz="0" w:space="0"/>
          <w:bottom w:val="none" w:color="auto" w:sz="0" w:space="31"/>
          <w:right w:val="none" w:color="auto" w:sz="0" w:space="2"/>
        </w:pBdr>
        <w:kinsoku/>
        <w:wordWrap/>
        <w:overflowPunct/>
        <w:topLinePunct w:val="0"/>
        <w:autoSpaceDE/>
        <w:autoSpaceDN w:val="0"/>
        <w:bidi w:val="0"/>
        <w:adjustRightInd w:val="0"/>
        <w:snapToGrid w:val="0"/>
        <w:spacing w:line="560" w:lineRule="exact"/>
        <w:ind w:firstLine="640" w:firstLineChars="200"/>
        <w:jc w:val="both"/>
        <w:textAlignment w:val="auto"/>
        <w:rPr>
          <w:rFonts w:hint="eastAsia" w:ascii="仿宋_GB2312"/>
          <w:color w:val="auto"/>
          <w:sz w:val="32"/>
          <w:szCs w:val="32"/>
          <w:highlight w:val="none"/>
        </w:rPr>
      </w:pPr>
      <w:r>
        <w:rPr>
          <w:rFonts w:hint="eastAsia" w:ascii="仿宋_GB2312"/>
          <w:color w:val="auto"/>
          <w:sz w:val="32"/>
          <w:szCs w:val="32"/>
          <w:highlight w:val="none"/>
        </w:rPr>
        <w:t>时效指标为课本按期发放率，预期指标值为等于100%，实际完成值为100%，指标达到预期目标。</w:t>
      </w:r>
    </w:p>
    <w:p>
      <w:pPr>
        <w:keepNext w:val="0"/>
        <w:keepLines w:val="0"/>
        <w:pageBreakBefore w:val="0"/>
        <w:widowControl w:val="0"/>
        <w:numPr>
          <w:ilvl w:val="0"/>
          <w:numId w:val="0"/>
        </w:numPr>
        <w:pBdr>
          <w:top w:val="none" w:color="auto" w:sz="0" w:space="0"/>
          <w:left w:val="none" w:color="auto" w:sz="0" w:space="0"/>
          <w:bottom w:val="none" w:color="auto" w:sz="0" w:space="31"/>
          <w:right w:val="none" w:color="auto" w:sz="0" w:space="2"/>
        </w:pBdr>
        <w:kinsoku/>
        <w:wordWrap/>
        <w:overflowPunct/>
        <w:topLinePunct w:val="0"/>
        <w:autoSpaceDE/>
        <w:autoSpaceDN w:val="0"/>
        <w:bidi w:val="0"/>
        <w:adjustRightInd w:val="0"/>
        <w:snapToGrid w:val="0"/>
        <w:spacing w:line="560" w:lineRule="exact"/>
        <w:ind w:left="600" w:leftChars="200" w:firstLine="640" w:firstLineChars="200"/>
        <w:jc w:val="both"/>
        <w:textAlignment w:val="auto"/>
        <w:rPr>
          <w:rFonts w:ascii="仿宋_GB2312"/>
          <w:color w:val="auto"/>
          <w:sz w:val="32"/>
          <w:szCs w:val="32"/>
          <w:highlight w:val="none"/>
        </w:rPr>
      </w:pPr>
    </w:p>
    <w:p>
      <w:pPr>
        <w:keepNext w:val="0"/>
        <w:keepLines w:val="0"/>
        <w:pageBreakBefore w:val="0"/>
        <w:widowControl w:val="0"/>
        <w:kinsoku/>
        <w:wordWrap/>
        <w:overflowPunct/>
        <w:topLinePunct w:val="0"/>
        <w:autoSpaceDE/>
        <w:bidi w:val="0"/>
        <w:spacing w:line="560" w:lineRule="exact"/>
        <w:ind w:firstLine="643" w:firstLineChars="200"/>
        <w:jc w:val="both"/>
        <w:textAlignment w:val="auto"/>
        <w:rPr>
          <w:rFonts w:hint="eastAsia" w:ascii="仿宋_GB2312"/>
          <w:b/>
          <w:color w:val="auto"/>
          <w:sz w:val="32"/>
          <w:szCs w:val="32"/>
          <w:highlight w:val="none"/>
        </w:rPr>
      </w:pPr>
      <w:r>
        <w:rPr>
          <w:rFonts w:hint="eastAsia" w:ascii="仿宋_GB2312"/>
          <w:b/>
          <w:color w:val="auto"/>
          <w:sz w:val="32"/>
          <w:szCs w:val="32"/>
          <w:highlight w:val="none"/>
        </w:rPr>
        <w:t>4．成本指标</w:t>
      </w:r>
    </w:p>
    <w:p>
      <w:pPr>
        <w:pageBreakBefore w:val="0"/>
        <w:widowControl w:val="0"/>
        <w:kinsoku/>
        <w:wordWrap/>
        <w:overflowPunct/>
        <w:topLinePunct w:val="0"/>
        <w:autoSpaceDE/>
        <w:bidi w:val="0"/>
        <w:spacing w:line="560" w:lineRule="exact"/>
        <w:ind w:firstLine="640" w:firstLineChars="200"/>
        <w:jc w:val="both"/>
        <w:textAlignment w:val="auto"/>
        <w:rPr>
          <w:rFonts w:hint="eastAsia" w:ascii="仿宋_GB2312"/>
          <w:color w:val="auto"/>
          <w:sz w:val="32"/>
          <w:szCs w:val="32"/>
          <w:highlight w:val="none"/>
        </w:rPr>
      </w:pPr>
      <w:r>
        <w:rPr>
          <w:rFonts w:hint="eastAsia" w:ascii="仿宋_GB2312"/>
          <w:color w:val="auto"/>
          <w:sz w:val="32"/>
          <w:szCs w:val="32"/>
          <w:highlight w:val="none"/>
        </w:rPr>
        <w:t>经济成本指标为采购图书及其他娱乐设备成本，预期指标值为小于等于33.41万元，实际完成值为33.39万元，指标未达到预期目标。原因：根据实际产生的费用进行支出，剩余资金结转至2025年支出，因此指标完成情况存在偏差；措施：下一年度做好项目管理，提高工作执行进度，减少偏差。</w:t>
      </w:r>
    </w:p>
    <w:p>
      <w:pPr>
        <w:pageBreakBefore w:val="0"/>
        <w:widowControl w:val="0"/>
        <w:kinsoku/>
        <w:wordWrap/>
        <w:overflowPunct/>
        <w:topLinePunct w:val="0"/>
        <w:autoSpaceDE/>
        <w:bidi w:val="0"/>
        <w:spacing w:line="560" w:lineRule="exact"/>
        <w:ind w:firstLine="640" w:firstLineChars="200"/>
        <w:jc w:val="both"/>
        <w:textAlignment w:val="auto"/>
        <w:rPr>
          <w:rFonts w:ascii="仿宋_GB2312"/>
          <w:color w:val="auto"/>
          <w:sz w:val="32"/>
          <w:szCs w:val="32"/>
          <w:highlight w:val="none"/>
        </w:rPr>
      </w:pPr>
      <w:r>
        <w:rPr>
          <w:rFonts w:hint="eastAsia" w:ascii="仿宋_GB2312"/>
          <w:color w:val="auto"/>
          <w:sz w:val="32"/>
          <w:szCs w:val="32"/>
          <w:highlight w:val="none"/>
        </w:rPr>
        <w:t>经济成本指标为工程建设费用，预期指标值为小于等于246.20万元，实际完成值为234.78万元，指标未达到预期目标。原因：根据实际产生的费用进行支出，剩余资金结转至2025年支出，因此指标完成情况存在偏差；措施：下一年度做好项目管理，提高工作执行进度，减少偏差。</w:t>
      </w:r>
    </w:p>
    <w:p>
      <w:pPr>
        <w:pageBreakBefore w:val="0"/>
        <w:widowControl w:val="0"/>
        <w:kinsoku/>
        <w:wordWrap/>
        <w:overflowPunct/>
        <w:topLinePunct w:val="0"/>
        <w:autoSpaceDE/>
        <w:bidi w:val="0"/>
        <w:spacing w:line="560" w:lineRule="exact"/>
        <w:ind w:firstLine="643" w:firstLineChars="200"/>
        <w:jc w:val="both"/>
        <w:textAlignment w:val="auto"/>
        <w:rPr>
          <w:rFonts w:ascii="楷体" w:hAnsi="楷体" w:eastAsia="楷体" w:cs="宋体"/>
          <w:b/>
          <w:bCs w:val="0"/>
          <w:color w:val="auto"/>
          <w:sz w:val="32"/>
          <w:szCs w:val="32"/>
          <w:highlight w:val="none"/>
        </w:rPr>
      </w:pPr>
      <w:r>
        <w:rPr>
          <w:rFonts w:hint="eastAsia" w:ascii="楷体" w:hAnsi="楷体" w:eastAsia="楷体" w:cs="宋体"/>
          <w:b/>
          <w:bCs w:val="0"/>
          <w:color w:val="auto"/>
          <w:sz w:val="32"/>
          <w:szCs w:val="32"/>
          <w:highlight w:val="none"/>
        </w:rPr>
        <w:t>（四）项目效益情况</w:t>
      </w:r>
    </w:p>
    <w:p>
      <w:pPr>
        <w:pageBreakBefore w:val="0"/>
        <w:widowControl w:val="0"/>
        <w:kinsoku/>
        <w:wordWrap/>
        <w:overflowPunct/>
        <w:topLinePunct w:val="0"/>
        <w:autoSpaceDE/>
        <w:bidi w:val="0"/>
        <w:spacing w:line="560" w:lineRule="exact"/>
        <w:ind w:firstLine="643" w:firstLineChars="200"/>
        <w:jc w:val="both"/>
        <w:textAlignment w:val="auto"/>
        <w:rPr>
          <w:rFonts w:hint="eastAsia" w:ascii="仿宋_GB2312" w:hAnsi="仿宋" w:cs="宋体"/>
          <w:b/>
          <w:bCs/>
          <w:color w:val="auto"/>
          <w:sz w:val="32"/>
          <w:szCs w:val="32"/>
          <w:highlight w:val="none"/>
        </w:rPr>
      </w:pPr>
      <w:r>
        <w:rPr>
          <w:rFonts w:hint="eastAsia" w:ascii="仿宋_GB2312" w:hAnsi="仿宋" w:cs="宋体"/>
          <w:b/>
          <w:bCs/>
          <w:color w:val="auto"/>
          <w:sz w:val="32"/>
          <w:szCs w:val="32"/>
          <w:highlight w:val="none"/>
        </w:rPr>
        <w:t>1．经济效益指标</w:t>
      </w:r>
    </w:p>
    <w:p>
      <w:pPr>
        <w:pageBreakBefore w:val="0"/>
        <w:widowControl w:val="0"/>
        <w:kinsoku/>
        <w:wordWrap/>
        <w:overflowPunct/>
        <w:topLinePunct w:val="0"/>
        <w:autoSpaceDE/>
        <w:bidi w:val="0"/>
        <w:spacing w:line="560" w:lineRule="exact"/>
        <w:ind w:firstLine="640" w:firstLineChars="200"/>
        <w:jc w:val="both"/>
        <w:textAlignment w:val="auto"/>
        <w:rPr>
          <w:rFonts w:hint="eastAsia" w:ascii="仿宋_GB2312" w:hAnsi="仿宋" w:eastAsia="仿宋_GB2312" w:cs="宋体"/>
          <w:bCs/>
          <w:color w:val="auto"/>
          <w:sz w:val="32"/>
          <w:szCs w:val="32"/>
          <w:highlight w:val="none"/>
          <w:lang w:eastAsia="zh-CN"/>
        </w:rPr>
      </w:pPr>
      <w:r>
        <w:rPr>
          <w:rFonts w:hint="eastAsia" w:ascii="仿宋_GB2312" w:hAnsi="仿宋" w:cs="宋体"/>
          <w:bCs/>
          <w:color w:val="auto"/>
          <w:sz w:val="32"/>
          <w:szCs w:val="32"/>
          <w:highlight w:val="none"/>
          <w:lang w:val="en-US" w:eastAsia="zh-CN"/>
        </w:rPr>
        <w:t>无。</w:t>
      </w:r>
    </w:p>
    <w:p>
      <w:pPr>
        <w:pageBreakBefore w:val="0"/>
        <w:widowControl w:val="0"/>
        <w:kinsoku/>
        <w:wordWrap/>
        <w:overflowPunct/>
        <w:topLinePunct w:val="0"/>
        <w:autoSpaceDE/>
        <w:bidi w:val="0"/>
        <w:spacing w:line="560" w:lineRule="exact"/>
        <w:ind w:firstLine="643" w:firstLineChars="200"/>
        <w:jc w:val="both"/>
        <w:textAlignment w:val="auto"/>
        <w:rPr>
          <w:rFonts w:hint="eastAsia" w:ascii="仿宋_GB2312" w:hAnsi="仿宋" w:cs="宋体"/>
          <w:b/>
          <w:bCs/>
          <w:color w:val="auto"/>
          <w:sz w:val="32"/>
          <w:szCs w:val="32"/>
          <w:highlight w:val="none"/>
        </w:rPr>
      </w:pPr>
      <w:r>
        <w:rPr>
          <w:rFonts w:hint="eastAsia" w:ascii="仿宋_GB2312" w:hAnsi="仿宋" w:cs="宋体"/>
          <w:b/>
          <w:bCs/>
          <w:color w:val="auto"/>
          <w:sz w:val="32"/>
          <w:szCs w:val="32"/>
          <w:highlight w:val="none"/>
        </w:rPr>
        <w:t>2．社会效益指标</w:t>
      </w:r>
    </w:p>
    <w:p>
      <w:pPr>
        <w:pageBreakBefore w:val="0"/>
        <w:widowControl w:val="0"/>
        <w:kinsoku/>
        <w:wordWrap/>
        <w:overflowPunct/>
        <w:topLinePunct w:val="0"/>
        <w:autoSpaceDE/>
        <w:bidi w:val="0"/>
        <w:spacing w:line="560" w:lineRule="exact"/>
        <w:ind w:firstLine="640" w:firstLineChars="200"/>
        <w:jc w:val="both"/>
        <w:textAlignment w:val="auto"/>
        <w:rPr>
          <w:rFonts w:hint="eastAsia" w:ascii="仿宋_GB2312" w:hAnsi="仿宋" w:cs="宋体"/>
          <w:bCs/>
          <w:color w:val="auto"/>
          <w:sz w:val="32"/>
          <w:szCs w:val="32"/>
          <w:highlight w:val="none"/>
        </w:rPr>
      </w:pPr>
      <w:r>
        <w:rPr>
          <w:rFonts w:hint="eastAsia" w:ascii="仿宋_GB2312" w:hAnsi="仿宋" w:cs="宋体"/>
          <w:bCs/>
          <w:color w:val="auto"/>
          <w:sz w:val="32"/>
          <w:szCs w:val="32"/>
          <w:highlight w:val="none"/>
        </w:rPr>
        <w:t>社会效益指标为提升教学质量，预期指标值为进一步提升，实际完成值为进一步提升，指标达到预期目标。</w:t>
      </w:r>
    </w:p>
    <w:p>
      <w:pPr>
        <w:pageBreakBefore w:val="0"/>
        <w:widowControl w:val="0"/>
        <w:kinsoku/>
        <w:wordWrap/>
        <w:overflowPunct/>
        <w:topLinePunct w:val="0"/>
        <w:autoSpaceDE/>
        <w:bidi w:val="0"/>
        <w:spacing w:line="560" w:lineRule="exact"/>
        <w:ind w:firstLine="643" w:firstLineChars="200"/>
        <w:jc w:val="both"/>
        <w:textAlignment w:val="auto"/>
        <w:rPr>
          <w:rFonts w:hint="eastAsia" w:ascii="仿宋_GB2312" w:hAnsi="仿宋" w:cs="宋体"/>
          <w:b/>
          <w:bCs/>
          <w:color w:val="auto"/>
          <w:sz w:val="32"/>
          <w:szCs w:val="32"/>
          <w:highlight w:val="none"/>
        </w:rPr>
      </w:pPr>
      <w:r>
        <w:rPr>
          <w:rFonts w:hint="eastAsia" w:ascii="仿宋_GB2312" w:hAnsi="仿宋" w:cs="宋体"/>
          <w:b/>
          <w:bCs/>
          <w:color w:val="auto"/>
          <w:sz w:val="32"/>
          <w:szCs w:val="32"/>
          <w:highlight w:val="none"/>
        </w:rPr>
        <w:t>3．生态效益指标</w:t>
      </w:r>
    </w:p>
    <w:p>
      <w:pPr>
        <w:pageBreakBefore w:val="0"/>
        <w:widowControl w:val="0"/>
        <w:kinsoku/>
        <w:wordWrap/>
        <w:overflowPunct/>
        <w:topLinePunct w:val="0"/>
        <w:autoSpaceDE/>
        <w:bidi w:val="0"/>
        <w:spacing w:line="560" w:lineRule="exact"/>
        <w:ind w:firstLine="640" w:firstLineChars="200"/>
        <w:jc w:val="both"/>
        <w:textAlignment w:val="auto"/>
        <w:rPr>
          <w:rFonts w:hint="default" w:ascii="仿宋_GB2312" w:hAnsi="仿宋" w:eastAsia="仿宋_GB2312" w:cs="宋体"/>
          <w:bCs/>
          <w:color w:val="auto"/>
          <w:sz w:val="32"/>
          <w:szCs w:val="32"/>
          <w:highlight w:val="none"/>
          <w:lang w:val="en-US" w:eastAsia="zh-CN"/>
        </w:rPr>
      </w:pPr>
      <w:r>
        <w:rPr>
          <w:rFonts w:hint="eastAsia" w:ascii="仿宋_GB2312" w:hAnsi="仿宋" w:cs="宋体"/>
          <w:bCs/>
          <w:color w:val="auto"/>
          <w:sz w:val="32"/>
          <w:szCs w:val="32"/>
          <w:highlight w:val="none"/>
          <w:lang w:val="en-US" w:eastAsia="zh-CN"/>
        </w:rPr>
        <w:t>无。</w:t>
      </w:r>
    </w:p>
    <w:p>
      <w:pPr>
        <w:pageBreakBefore w:val="0"/>
        <w:widowControl w:val="0"/>
        <w:kinsoku/>
        <w:wordWrap/>
        <w:overflowPunct/>
        <w:topLinePunct w:val="0"/>
        <w:autoSpaceDE/>
        <w:bidi w:val="0"/>
        <w:spacing w:line="560" w:lineRule="exact"/>
        <w:ind w:firstLine="643" w:firstLineChars="200"/>
        <w:jc w:val="both"/>
        <w:textAlignment w:val="auto"/>
        <w:rPr>
          <w:rFonts w:hint="eastAsia" w:ascii="仿宋_GB2312" w:hAnsi="仿宋" w:cs="宋体"/>
          <w:b/>
          <w:bCs/>
          <w:color w:val="auto"/>
          <w:sz w:val="32"/>
          <w:szCs w:val="32"/>
          <w:highlight w:val="none"/>
        </w:rPr>
      </w:pPr>
      <w:r>
        <w:rPr>
          <w:rFonts w:hint="eastAsia" w:ascii="仿宋_GB2312" w:hAnsi="仿宋" w:cs="宋体"/>
          <w:b/>
          <w:bCs/>
          <w:color w:val="auto"/>
          <w:sz w:val="32"/>
          <w:szCs w:val="32"/>
          <w:highlight w:val="none"/>
        </w:rPr>
        <w:t>4．满意度指标</w:t>
      </w:r>
    </w:p>
    <w:p>
      <w:pPr>
        <w:pageBreakBefore w:val="0"/>
        <w:widowControl w:val="0"/>
        <w:kinsoku/>
        <w:wordWrap/>
        <w:overflowPunct/>
        <w:topLinePunct w:val="0"/>
        <w:autoSpaceDE/>
        <w:bidi w:val="0"/>
        <w:spacing w:line="560" w:lineRule="exact"/>
        <w:ind w:firstLine="640" w:firstLineChars="200"/>
        <w:jc w:val="both"/>
        <w:textAlignment w:val="auto"/>
        <w:rPr>
          <w:rFonts w:hint="eastAsia" w:ascii="仿宋_GB2312" w:hAnsi="仿宋" w:cs="宋体"/>
          <w:bCs/>
          <w:color w:val="auto"/>
          <w:sz w:val="32"/>
          <w:szCs w:val="32"/>
          <w:highlight w:val="none"/>
        </w:rPr>
      </w:pPr>
      <w:r>
        <w:rPr>
          <w:rFonts w:hint="eastAsia" w:ascii="仿宋_GB2312" w:hAnsi="仿宋" w:cs="宋体"/>
          <w:bCs/>
          <w:color w:val="auto"/>
          <w:sz w:val="32"/>
          <w:szCs w:val="32"/>
          <w:highlight w:val="none"/>
        </w:rPr>
        <w:t>满意度指标为学生满意度，预期指标值为大于等于90%，经问卷调查，实际完成值为90%，指标达到预期目标。</w:t>
      </w:r>
    </w:p>
    <w:p>
      <w:pPr>
        <w:pageBreakBefore w:val="0"/>
        <w:widowControl w:val="0"/>
        <w:kinsoku/>
        <w:wordWrap/>
        <w:overflowPunct/>
        <w:topLinePunct w:val="0"/>
        <w:autoSpaceDE/>
        <w:bidi w:val="0"/>
        <w:spacing w:line="560" w:lineRule="exact"/>
        <w:ind w:firstLine="640" w:firstLineChars="200"/>
        <w:jc w:val="both"/>
        <w:textAlignment w:val="auto"/>
        <w:rPr>
          <w:rFonts w:hint="eastAsia" w:ascii="仿宋_GB2312"/>
          <w:color w:val="auto"/>
          <w:sz w:val="32"/>
          <w:szCs w:val="32"/>
          <w:highlight w:val="none"/>
        </w:rPr>
      </w:pPr>
      <w:r>
        <w:rPr>
          <w:rFonts w:hint="eastAsia" w:ascii="仿宋_GB2312" w:hAnsi="仿宋" w:cs="宋体"/>
          <w:bCs/>
          <w:color w:val="auto"/>
          <w:sz w:val="32"/>
          <w:szCs w:val="32"/>
          <w:highlight w:val="none"/>
        </w:rPr>
        <w:t>满意度指标为家长满意度，预期指标值为大于等于90%，经问卷调查，实际完成值为90%，指标达到预期目标。</w:t>
      </w:r>
    </w:p>
    <w:p>
      <w:pPr>
        <w:pStyle w:val="5"/>
        <w:keepNext w:val="0"/>
        <w:keepLines w:val="0"/>
        <w:pageBreakBefore w:val="0"/>
        <w:widowControl w:val="0"/>
        <w:suppressLineNumbers w:val="0"/>
        <w:shd w:val="clear" w:color="auto" w:fill="auto"/>
        <w:kinsoku/>
        <w:wordWrap/>
        <w:overflowPunct/>
        <w:topLinePunct w:val="0"/>
        <w:autoSpaceDE/>
        <w:autoSpaceDN/>
        <w:bidi w:val="0"/>
        <w:adjustRightInd/>
        <w:snapToGrid/>
        <w:spacing w:before="0" w:beforeAutospacing="0" w:after="0" w:afterAutospacing="0" w:line="560" w:lineRule="exact"/>
        <w:ind w:left="0" w:firstLine="640" w:firstLineChars="200"/>
        <w:jc w:val="both"/>
        <w:textAlignment w:val="auto"/>
        <w:rPr>
          <w:rFonts w:hint="eastAsia" w:ascii="黑体" w:hAnsi="黑体" w:eastAsia="黑体" w:cs="仿宋_GB2312"/>
          <w:b w:val="0"/>
          <w:bCs w:val="0"/>
          <w:color w:val="auto"/>
          <w:kern w:val="2"/>
          <w:sz w:val="32"/>
          <w:szCs w:val="32"/>
          <w:highlight w:val="none"/>
          <w:lang w:val="en-US" w:eastAsia="zh-CN" w:bidi="ar-SA"/>
        </w:rPr>
      </w:pPr>
      <w:r>
        <w:rPr>
          <w:rFonts w:hint="default" w:ascii="黑体" w:hAnsi="黑体" w:eastAsia="黑体" w:cs="仿宋_GB2312"/>
          <w:b w:val="0"/>
          <w:bCs w:val="0"/>
          <w:color w:val="auto"/>
          <w:kern w:val="2"/>
          <w:sz w:val="32"/>
          <w:szCs w:val="32"/>
          <w:highlight w:val="none"/>
          <w:lang w:val="en-US" w:eastAsia="zh-CN" w:bidi="ar-SA"/>
        </w:rPr>
        <w:t>五、主要经验及做法、存在的问题及原因分析</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jc w:val="both"/>
        <w:textAlignment w:val="auto"/>
        <w:rPr>
          <w:rFonts w:ascii="楷体" w:hAnsi="楷体" w:eastAsia="楷体"/>
          <w:b/>
          <w:bCs/>
          <w:color w:val="auto"/>
          <w:sz w:val="32"/>
          <w:szCs w:val="32"/>
          <w:highlight w:val="none"/>
        </w:rPr>
      </w:pPr>
      <w:r>
        <w:rPr>
          <w:rFonts w:hint="eastAsia" w:ascii="楷体" w:hAnsi="楷体" w:eastAsia="楷体"/>
          <w:b/>
          <w:bCs/>
          <w:color w:val="auto"/>
          <w:sz w:val="32"/>
          <w:szCs w:val="32"/>
          <w:highlight w:val="none"/>
        </w:rPr>
        <w:t>（一）主要经验及做法</w:t>
      </w:r>
    </w:p>
    <w:p>
      <w:pPr>
        <w:pStyle w:val="30"/>
        <w:keepNext w:val="0"/>
        <w:keepLines w:val="0"/>
        <w:pageBreakBefore w:val="0"/>
        <w:widowControl w:val="0"/>
        <w:numPr>
          <w:ilvl w:val="0"/>
          <w:numId w:val="0"/>
        </w:numPr>
        <w:kinsoku/>
        <w:wordWrap/>
        <w:overflowPunct/>
        <w:topLinePunct w:val="0"/>
        <w:autoSpaceDE/>
        <w:autoSpaceDN/>
        <w:bidi w:val="0"/>
        <w:adjustRightInd/>
        <w:snapToGrid/>
        <w:spacing w:before="0" w:after="0" w:line="560" w:lineRule="exact"/>
        <w:ind w:firstLine="640" w:firstLineChars="200"/>
        <w:jc w:val="both"/>
        <w:textAlignment w:val="auto"/>
        <w:rPr>
          <w:rFonts w:hint="eastAsia"/>
          <w:b w:val="0"/>
          <w:color w:val="auto"/>
          <w:highlight w:val="none"/>
        </w:rPr>
      </w:pPr>
      <w:r>
        <w:rPr>
          <w:rFonts w:hint="eastAsia"/>
          <w:b w:val="0"/>
          <w:color w:val="auto"/>
          <w:highlight w:val="none"/>
        </w:rPr>
        <w:t>本项目实施效果较好的原因主要是管理制度完善、责任落实到位，跟踪考核机制完善且运行有效，在项目实施过程中创新管理办法，采用成本效益分析法、比较法、最低成本法使项目取得了良好的效果。</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jc w:val="both"/>
        <w:textAlignment w:val="auto"/>
        <w:rPr>
          <w:rFonts w:hint="eastAsia" w:ascii="楷体" w:hAnsi="楷体" w:eastAsia="楷体"/>
          <w:b/>
          <w:bCs/>
          <w:color w:val="auto"/>
          <w:sz w:val="32"/>
          <w:szCs w:val="32"/>
          <w:highlight w:val="none"/>
        </w:rPr>
      </w:pPr>
      <w:r>
        <w:rPr>
          <w:rFonts w:hint="eastAsia" w:ascii="楷体" w:hAnsi="楷体" w:eastAsia="楷体"/>
          <w:b/>
          <w:bCs/>
          <w:color w:val="auto"/>
          <w:sz w:val="32"/>
          <w:szCs w:val="32"/>
          <w:highlight w:val="none"/>
        </w:rPr>
        <w:t>（二）存在的问题及原因分析</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color w:val="auto"/>
          <w:sz w:val="32"/>
          <w:highlight w:val="none"/>
          <w:lang w:val="en-US" w:eastAsia="zh-CN"/>
        </w:rPr>
      </w:pPr>
      <w:r>
        <w:rPr>
          <w:rFonts w:hint="eastAsia"/>
          <w:color w:val="auto"/>
          <w:sz w:val="32"/>
          <w:highlight w:val="none"/>
        </w:rPr>
        <w:t>本项目全年预算数</w:t>
      </w:r>
      <w:r>
        <w:rPr>
          <w:rFonts w:hint="eastAsia"/>
          <w:color w:val="auto"/>
          <w:sz w:val="32"/>
          <w:highlight w:val="none"/>
          <w:lang w:eastAsia="zh-CN"/>
        </w:rPr>
        <w:t>279.61万元</w:t>
      </w:r>
      <w:r>
        <w:rPr>
          <w:rFonts w:hint="eastAsia"/>
          <w:color w:val="auto"/>
          <w:sz w:val="32"/>
          <w:highlight w:val="none"/>
        </w:rPr>
        <w:t>，执行数</w:t>
      </w:r>
      <w:r>
        <w:rPr>
          <w:rFonts w:hint="eastAsia"/>
          <w:color w:val="auto"/>
          <w:sz w:val="32"/>
          <w:highlight w:val="none"/>
          <w:lang w:eastAsia="zh-CN"/>
        </w:rPr>
        <w:t>268.17万元</w:t>
      </w:r>
      <w:r>
        <w:rPr>
          <w:rFonts w:hint="eastAsia"/>
          <w:color w:val="auto"/>
          <w:sz w:val="32"/>
          <w:highlight w:val="none"/>
        </w:rPr>
        <w:t>，执行率</w:t>
      </w:r>
      <w:r>
        <w:rPr>
          <w:rFonts w:hint="eastAsia"/>
          <w:color w:val="auto"/>
          <w:sz w:val="32"/>
          <w:highlight w:val="none"/>
          <w:lang w:eastAsia="zh-CN"/>
        </w:rPr>
        <w:t>95.90%</w:t>
      </w:r>
      <w:r>
        <w:rPr>
          <w:rFonts w:hint="eastAsia"/>
          <w:color w:val="auto"/>
          <w:sz w:val="32"/>
          <w:highlight w:val="none"/>
        </w:rPr>
        <w:t>，绩效指标完成率</w:t>
      </w:r>
      <w:r>
        <w:rPr>
          <w:rFonts w:hint="eastAsia"/>
          <w:color w:val="auto"/>
          <w:sz w:val="32"/>
          <w:highlight w:val="none"/>
          <w:lang w:val="en-US" w:eastAsia="zh-CN"/>
        </w:rPr>
        <w:t>99.61%</w:t>
      </w:r>
      <w:r>
        <w:rPr>
          <w:rFonts w:hint="eastAsia"/>
          <w:color w:val="auto"/>
          <w:sz w:val="32"/>
          <w:highlight w:val="none"/>
        </w:rPr>
        <w:t>，偏差率</w:t>
      </w:r>
      <w:r>
        <w:rPr>
          <w:rFonts w:hint="eastAsia"/>
          <w:color w:val="auto"/>
          <w:sz w:val="32"/>
          <w:highlight w:val="none"/>
          <w:lang w:val="en-US" w:eastAsia="zh-CN"/>
        </w:rPr>
        <w:t>3.71%</w:t>
      </w:r>
      <w:r>
        <w:rPr>
          <w:rFonts w:hint="eastAsia"/>
          <w:color w:val="auto"/>
          <w:sz w:val="32"/>
          <w:highlight w:val="none"/>
        </w:rPr>
        <w:t>。偏差原因：</w:t>
      </w:r>
      <w:r>
        <w:rPr>
          <w:rFonts w:hint="eastAsia"/>
          <w:color w:val="auto"/>
          <w:sz w:val="32"/>
          <w:highlight w:val="none"/>
          <w:lang w:val="en-US" w:eastAsia="zh-CN"/>
        </w:rPr>
        <w:t>根据实际产生的费用进行支出，剩余资金结转至2025年支出，因此指标完成情况存在偏差。</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楷体" w:hAnsi="楷体" w:eastAsia="楷体"/>
          <w:color w:val="auto"/>
          <w:sz w:val="36"/>
          <w:szCs w:val="32"/>
          <w:highlight w:val="none"/>
        </w:rPr>
      </w:pPr>
      <w:r>
        <w:rPr>
          <w:rFonts w:hint="eastAsia"/>
          <w:color w:val="auto"/>
          <w:sz w:val="32"/>
          <w:highlight w:val="none"/>
          <w:lang w:val="en-US" w:eastAsia="zh-CN"/>
        </w:rPr>
        <w:t>经济成本指标“采购图书及其他娱乐设备成本”和经济成本指标“工程建设费用预期指标值”指标未达到预期目标的原因是：根据实际产生的费用进行支出，剩余资金结转至2025年支出，因此指标完成情况存在偏差；措施：下一年度做好项目管理，提高工作执行进度，减少偏差。</w:t>
      </w:r>
    </w:p>
    <w:p>
      <w:pPr>
        <w:pStyle w:val="30"/>
        <w:keepNext w:val="0"/>
        <w:keepLines w:val="0"/>
        <w:pageBreakBefore w:val="0"/>
        <w:widowControl w:val="0"/>
        <w:numPr>
          <w:ilvl w:val="0"/>
          <w:numId w:val="0"/>
        </w:numPr>
        <w:kinsoku/>
        <w:wordWrap/>
        <w:overflowPunct/>
        <w:topLinePunct w:val="0"/>
        <w:autoSpaceDE/>
        <w:autoSpaceDN/>
        <w:bidi w:val="0"/>
        <w:adjustRightInd/>
        <w:snapToGrid/>
        <w:spacing w:before="0" w:after="0" w:line="560" w:lineRule="exact"/>
        <w:ind w:firstLine="640" w:firstLineChars="200"/>
        <w:jc w:val="both"/>
        <w:textAlignment w:val="auto"/>
        <w:rPr>
          <w:rFonts w:ascii="黑体" w:hAnsi="黑体" w:eastAsia="黑体"/>
          <w:b w:val="0"/>
          <w:bCs w:val="0"/>
          <w:color w:val="auto"/>
          <w:highlight w:val="none"/>
        </w:rPr>
      </w:pPr>
      <w:r>
        <w:rPr>
          <w:rFonts w:hint="eastAsia" w:ascii="黑体" w:hAnsi="黑体" w:eastAsia="黑体"/>
          <w:b w:val="0"/>
          <w:bCs w:val="0"/>
          <w:color w:val="auto"/>
          <w:highlight w:val="none"/>
          <w:lang w:val="en-US" w:eastAsia="zh-CN"/>
        </w:rPr>
        <w:t>六、有关建议</w:t>
      </w:r>
    </w:p>
    <w:p>
      <w:pPr>
        <w:pStyle w:val="31"/>
        <w:keepNext w:val="0"/>
        <w:keepLines w:val="0"/>
        <w:pageBreakBefore w:val="0"/>
        <w:widowControl w:val="0"/>
        <w:kinsoku/>
        <w:wordWrap/>
        <w:overflowPunct/>
        <w:topLinePunct w:val="0"/>
        <w:autoSpaceDE/>
        <w:autoSpaceDN/>
        <w:bidi w:val="0"/>
        <w:adjustRightInd/>
        <w:snapToGrid/>
        <w:spacing w:before="0" w:after="0" w:line="560" w:lineRule="exact"/>
        <w:ind w:firstLine="640" w:firstLineChars="200"/>
        <w:jc w:val="both"/>
        <w:textAlignment w:val="auto"/>
        <w:rPr>
          <w:rFonts w:hint="eastAsia" w:ascii="仿宋_GB2312" w:hAnsi="仿宋" w:eastAsia="仿宋_GB2312" w:cs="宋体"/>
          <w:b w:val="0"/>
          <w:color w:val="auto"/>
          <w:kern w:val="2"/>
          <w:highlight w:val="none"/>
        </w:rPr>
      </w:pPr>
      <w:r>
        <w:rPr>
          <w:rFonts w:hint="eastAsia" w:ascii="仿宋_GB2312" w:hAnsi="仿宋" w:eastAsia="仿宋_GB2312" w:cs="宋体"/>
          <w:b w:val="0"/>
          <w:color w:val="auto"/>
          <w:kern w:val="2"/>
          <w:highlight w:val="none"/>
        </w:rPr>
        <w:t>预算编制工作，认真做好预算的编制。全面编制预算项目，优先保障固定性的、相对刚性的费用支出项目，尽量压缩变动性的、有控制空间的费用项目，进一步提高预算编制的科学性、严谨性和可控性。</w:t>
      </w:r>
    </w:p>
    <w:p>
      <w:pPr>
        <w:pStyle w:val="31"/>
        <w:keepNext w:val="0"/>
        <w:keepLines w:val="0"/>
        <w:pageBreakBefore w:val="0"/>
        <w:widowControl w:val="0"/>
        <w:kinsoku/>
        <w:wordWrap/>
        <w:overflowPunct/>
        <w:topLinePunct w:val="0"/>
        <w:autoSpaceDE/>
        <w:autoSpaceDN/>
        <w:bidi w:val="0"/>
        <w:adjustRightInd/>
        <w:snapToGrid/>
        <w:spacing w:before="0" w:after="0" w:line="560" w:lineRule="exact"/>
        <w:ind w:firstLine="640" w:firstLineChars="200"/>
        <w:jc w:val="both"/>
        <w:textAlignment w:val="auto"/>
        <w:rPr>
          <w:rFonts w:hint="eastAsia" w:ascii="仿宋_GB2312" w:hAnsi="仿宋" w:eastAsia="仿宋_GB2312" w:cs="宋体"/>
          <w:b w:val="0"/>
          <w:color w:val="auto"/>
          <w:kern w:val="2"/>
          <w:highlight w:val="none"/>
        </w:rPr>
      </w:pPr>
      <w:r>
        <w:rPr>
          <w:rFonts w:hint="eastAsia" w:ascii="仿宋_GB2312" w:hAnsi="仿宋" w:eastAsia="仿宋_GB2312" w:cs="宋体"/>
          <w:b w:val="0"/>
          <w:color w:val="auto"/>
          <w:kern w:val="2"/>
          <w:highlight w:val="none"/>
        </w:rPr>
        <w:t>开展进度的跟踪，确保项目绩效目标的完成。规范程序，严格把关。进一步完善项目申报、审核、公示、审批等程序，做好项目信息公开，公开内容要及时、完整、真实，确保项目公平、公开、公正。</w:t>
      </w:r>
    </w:p>
    <w:p>
      <w:pPr>
        <w:pStyle w:val="31"/>
        <w:keepNext w:val="0"/>
        <w:keepLines w:val="0"/>
        <w:pageBreakBefore w:val="0"/>
        <w:widowControl w:val="0"/>
        <w:kinsoku/>
        <w:wordWrap/>
        <w:overflowPunct/>
        <w:topLinePunct w:val="0"/>
        <w:autoSpaceDE/>
        <w:autoSpaceDN/>
        <w:bidi w:val="0"/>
        <w:adjustRightInd/>
        <w:snapToGrid/>
        <w:spacing w:before="0" w:after="0" w:line="560" w:lineRule="exact"/>
        <w:ind w:firstLine="640" w:firstLineChars="200"/>
        <w:jc w:val="both"/>
        <w:textAlignment w:val="auto"/>
        <w:rPr>
          <w:rFonts w:ascii="黑体" w:hAnsi="黑体"/>
          <w:b w:val="0"/>
          <w:color w:val="auto"/>
          <w:highlight w:val="none"/>
        </w:rPr>
      </w:pPr>
      <w:r>
        <w:rPr>
          <w:rFonts w:hint="eastAsia" w:ascii="仿宋_GB2312" w:hAnsi="仿宋" w:eastAsia="仿宋_GB2312" w:cs="宋体"/>
          <w:b w:val="0"/>
          <w:color w:val="auto"/>
          <w:kern w:val="2"/>
          <w:highlight w:val="none"/>
        </w:rPr>
        <w:t>健全制度，加强督促。针对项目实施中存在的问题，进一步完善相关制度，加强督促检查，</w:t>
      </w:r>
      <w:bookmarkStart w:id="0" w:name="_GoBack"/>
      <w:bookmarkEnd w:id="0"/>
      <w:r>
        <w:rPr>
          <w:rFonts w:hint="eastAsia" w:ascii="仿宋_GB2312" w:hAnsi="仿宋" w:eastAsia="仿宋_GB2312" w:cs="宋体"/>
          <w:b w:val="0"/>
          <w:color w:val="auto"/>
          <w:kern w:val="2"/>
          <w:highlight w:val="none"/>
        </w:rPr>
        <w:t>同时及时完善资料。</w:t>
      </w:r>
    </w:p>
    <w:p>
      <w:pPr>
        <w:pStyle w:val="30"/>
        <w:keepNext w:val="0"/>
        <w:keepLines w:val="0"/>
        <w:pageBreakBefore w:val="0"/>
        <w:widowControl w:val="0"/>
        <w:numPr>
          <w:ilvl w:val="0"/>
          <w:numId w:val="0"/>
        </w:numPr>
        <w:kinsoku/>
        <w:wordWrap/>
        <w:overflowPunct/>
        <w:topLinePunct w:val="0"/>
        <w:autoSpaceDE/>
        <w:autoSpaceDN/>
        <w:bidi w:val="0"/>
        <w:adjustRightInd/>
        <w:snapToGrid/>
        <w:spacing w:before="0" w:after="0" w:line="560" w:lineRule="exact"/>
        <w:ind w:firstLine="640" w:firstLineChars="200"/>
        <w:jc w:val="both"/>
        <w:textAlignment w:val="auto"/>
        <w:rPr>
          <w:rFonts w:ascii="黑体" w:hAnsi="黑体" w:eastAsia="黑体"/>
          <w:b w:val="0"/>
          <w:bCs w:val="0"/>
          <w:color w:val="auto"/>
          <w:highlight w:val="none"/>
        </w:rPr>
      </w:pPr>
      <w:r>
        <w:rPr>
          <w:rFonts w:hint="eastAsia" w:ascii="黑体" w:hAnsi="黑体" w:eastAsia="黑体"/>
          <w:b w:val="0"/>
          <w:bCs w:val="0"/>
          <w:color w:val="auto"/>
          <w:highlight w:val="none"/>
          <w:lang w:val="en-US" w:eastAsia="zh-CN"/>
        </w:rPr>
        <w:t>七</w:t>
      </w:r>
      <w:r>
        <w:rPr>
          <w:rFonts w:hint="eastAsia" w:ascii="黑体" w:hAnsi="黑体" w:eastAsia="黑体"/>
          <w:b w:val="0"/>
          <w:bCs w:val="0"/>
          <w:color w:val="auto"/>
          <w:highlight w:val="none"/>
        </w:rPr>
        <w:t>、其他需要说明的问题</w:t>
      </w:r>
    </w:p>
    <w:p>
      <w:pPr>
        <w:keepNext w:val="0"/>
        <w:keepLines w:val="0"/>
        <w:pageBreakBefore w:val="0"/>
        <w:widowControl w:val="0"/>
        <w:kinsoku/>
        <w:wordWrap/>
        <w:overflowPunct/>
        <w:topLinePunct w:val="0"/>
        <w:autoSpaceDE/>
        <w:autoSpaceDN/>
        <w:bidi w:val="0"/>
        <w:adjustRightInd/>
        <w:snapToGrid/>
        <w:spacing w:line="560" w:lineRule="exact"/>
        <w:ind w:firstLine="600" w:firstLineChars="200"/>
        <w:jc w:val="both"/>
        <w:textAlignment w:val="auto"/>
        <w:rPr>
          <w:rFonts w:hint="eastAsia"/>
          <w:color w:val="auto"/>
          <w:highlight w:val="none"/>
          <w:lang w:val="en-US" w:eastAsia="zh-CN"/>
        </w:rPr>
      </w:pPr>
      <w:r>
        <w:rPr>
          <w:rFonts w:hint="eastAsia"/>
          <w:color w:val="auto"/>
          <w:highlight w:val="none"/>
          <w:lang w:val="en-US" w:eastAsia="zh-CN"/>
        </w:rPr>
        <w:t>无。</w:t>
      </w:r>
    </w:p>
    <w:p>
      <w:pPr>
        <w:pStyle w:val="2"/>
        <w:rPr>
          <w:rFonts w:hint="eastAsia"/>
          <w:color w:val="auto"/>
          <w:highlight w:val="none"/>
        </w:rPr>
      </w:pPr>
    </w:p>
    <w:p>
      <w:pPr>
        <w:spacing w:line="560" w:lineRule="exact"/>
        <w:rPr>
          <w:rFonts w:hint="eastAsia" w:ascii="仿宋_GB2312" w:hAnsi="仿宋_GB2312" w:cs="仿宋_GB2312"/>
          <w:color w:val="auto"/>
          <w:sz w:val="32"/>
          <w:szCs w:val="32"/>
          <w:highlight w:val="none"/>
        </w:rPr>
      </w:pPr>
      <w:r>
        <w:br w:type="page"/>
      </w:r>
      <w:r>
        <w:rPr>
          <w:rFonts w:hint="eastAsia" w:ascii="仿宋_GB2312" w:hAnsi="仿宋_GB2312" w:cs="仿宋_GB2312"/>
          <w:color w:val="auto"/>
          <w:sz w:val="32"/>
          <w:szCs w:val="32"/>
          <w:highlight w:val="none"/>
        </w:rPr>
        <w:t>附件1</w:t>
      </w:r>
    </w:p>
    <w:p>
      <w:pPr>
        <w:spacing w:line="560" w:lineRule="exact"/>
        <w:ind w:left="600" w:leftChars="200" w:firstLine="2240" w:firstLineChars="700"/>
        <w:rPr>
          <w:rFonts w:hint="eastAsia"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绩效评价指标体系</w:t>
      </w:r>
    </w:p>
    <w:tbl>
      <w:tblPr>
        <w:tblStyle w:val="12"/>
        <w:tblW w:w="9859" w:type="dxa"/>
        <w:jc w:val="center"/>
        <w:tblInd w:w="0" w:type="dxa"/>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757"/>
        <w:gridCol w:w="1478"/>
        <w:gridCol w:w="1875"/>
        <w:gridCol w:w="3885"/>
        <w:gridCol w:w="990"/>
        <w:gridCol w:w="874"/>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692" w:hRule="atLeast"/>
          <w:tblHeader/>
          <w:jc w:val="center"/>
        </w:trPr>
        <w:tc>
          <w:tcPr>
            <w:tcW w:w="757" w:type="dxa"/>
            <w:vAlign w:val="center"/>
          </w:tcPr>
          <w:p>
            <w:pPr>
              <w:widowControl/>
              <w:spacing w:line="400" w:lineRule="exact"/>
              <w:jc w:val="center"/>
              <w:rPr>
                <w:rFonts w:hint="eastAsia" w:ascii="仿宋_GB2312" w:hAnsi="仿宋_GB2312" w:cs="仿宋_GB2312"/>
                <w:b/>
                <w:bCs/>
                <w:color w:val="auto"/>
                <w:kern w:val="0"/>
                <w:sz w:val="24"/>
                <w:highlight w:val="none"/>
              </w:rPr>
            </w:pPr>
            <w:r>
              <w:rPr>
                <w:rFonts w:hint="eastAsia" w:ascii="仿宋_GB2312" w:hAnsi="仿宋_GB2312" w:cs="仿宋_GB2312"/>
                <w:b/>
                <w:bCs/>
                <w:color w:val="auto"/>
                <w:kern w:val="0"/>
                <w:sz w:val="24"/>
                <w:highlight w:val="none"/>
              </w:rPr>
              <w:t>一级指标</w:t>
            </w:r>
          </w:p>
        </w:tc>
        <w:tc>
          <w:tcPr>
            <w:tcW w:w="1478" w:type="dxa"/>
            <w:vAlign w:val="center"/>
          </w:tcPr>
          <w:p>
            <w:pPr>
              <w:widowControl/>
              <w:spacing w:line="400" w:lineRule="exact"/>
              <w:jc w:val="center"/>
              <w:rPr>
                <w:rFonts w:hint="eastAsia" w:ascii="仿宋_GB2312" w:hAnsi="仿宋_GB2312" w:cs="仿宋_GB2312"/>
                <w:b/>
                <w:bCs/>
                <w:color w:val="auto"/>
                <w:kern w:val="0"/>
                <w:sz w:val="24"/>
                <w:highlight w:val="none"/>
              </w:rPr>
            </w:pPr>
            <w:r>
              <w:rPr>
                <w:rFonts w:hint="eastAsia" w:ascii="仿宋_GB2312" w:hAnsi="仿宋_GB2312" w:cs="仿宋_GB2312"/>
                <w:b/>
                <w:bCs/>
                <w:color w:val="auto"/>
                <w:kern w:val="0"/>
                <w:sz w:val="24"/>
                <w:highlight w:val="none"/>
              </w:rPr>
              <w:t>二级指标</w:t>
            </w:r>
          </w:p>
        </w:tc>
        <w:tc>
          <w:tcPr>
            <w:tcW w:w="1875" w:type="dxa"/>
            <w:tcBorders>
              <w:right w:val="single" w:color="auto" w:sz="4" w:space="0"/>
            </w:tcBorders>
            <w:vAlign w:val="center"/>
          </w:tcPr>
          <w:p>
            <w:pPr>
              <w:widowControl/>
              <w:spacing w:line="400" w:lineRule="exact"/>
              <w:jc w:val="center"/>
              <w:rPr>
                <w:rFonts w:hint="eastAsia" w:ascii="仿宋_GB2312" w:hAnsi="仿宋_GB2312" w:cs="仿宋_GB2312"/>
                <w:b/>
                <w:bCs/>
                <w:color w:val="auto"/>
                <w:kern w:val="0"/>
                <w:sz w:val="24"/>
                <w:highlight w:val="none"/>
              </w:rPr>
            </w:pPr>
            <w:r>
              <w:rPr>
                <w:rFonts w:hint="eastAsia" w:ascii="仿宋_GB2312" w:hAnsi="仿宋_GB2312" w:cs="仿宋_GB2312"/>
                <w:b/>
                <w:bCs/>
                <w:color w:val="auto"/>
                <w:kern w:val="0"/>
                <w:sz w:val="24"/>
                <w:highlight w:val="none"/>
              </w:rPr>
              <w:t>三级指标</w:t>
            </w:r>
          </w:p>
        </w:tc>
        <w:tc>
          <w:tcPr>
            <w:tcW w:w="3885" w:type="dxa"/>
            <w:tcBorders>
              <w:right w:val="single" w:color="auto" w:sz="4" w:space="0"/>
            </w:tcBorders>
            <w:vAlign w:val="center"/>
          </w:tcPr>
          <w:p>
            <w:pPr>
              <w:widowControl/>
              <w:spacing w:line="400" w:lineRule="exact"/>
              <w:jc w:val="center"/>
              <w:rPr>
                <w:rFonts w:hint="eastAsia" w:ascii="仿宋_GB2312" w:hAnsi="仿宋_GB2312" w:cs="仿宋_GB2312"/>
                <w:b/>
                <w:bCs/>
                <w:color w:val="auto"/>
                <w:kern w:val="0"/>
                <w:sz w:val="24"/>
                <w:highlight w:val="none"/>
              </w:rPr>
            </w:pPr>
            <w:r>
              <w:rPr>
                <w:rFonts w:hint="eastAsia" w:ascii="仿宋_GB2312" w:hAnsi="仿宋_GB2312" w:cs="仿宋_GB2312"/>
                <w:b/>
                <w:bCs/>
                <w:color w:val="auto"/>
                <w:kern w:val="0"/>
                <w:sz w:val="24"/>
                <w:highlight w:val="none"/>
              </w:rPr>
              <w:t>指标解释</w:t>
            </w:r>
          </w:p>
        </w:tc>
        <w:tc>
          <w:tcPr>
            <w:tcW w:w="990" w:type="dxa"/>
            <w:tcBorders>
              <w:left w:val="single" w:color="auto" w:sz="4" w:space="0"/>
            </w:tcBorders>
            <w:vAlign w:val="center"/>
          </w:tcPr>
          <w:p>
            <w:pPr>
              <w:widowControl/>
              <w:spacing w:line="400" w:lineRule="exact"/>
              <w:jc w:val="center"/>
              <w:rPr>
                <w:rFonts w:hint="eastAsia" w:ascii="仿宋_GB2312" w:hAnsi="仿宋_GB2312" w:cs="仿宋_GB2312"/>
                <w:b/>
                <w:bCs/>
                <w:color w:val="auto"/>
                <w:kern w:val="0"/>
                <w:sz w:val="24"/>
                <w:highlight w:val="none"/>
              </w:rPr>
            </w:pPr>
            <w:r>
              <w:rPr>
                <w:rFonts w:hint="eastAsia" w:ascii="仿宋_GB2312" w:hAnsi="仿宋_GB2312" w:cs="仿宋_GB2312"/>
                <w:b/>
                <w:bCs/>
                <w:color w:val="auto"/>
                <w:kern w:val="0"/>
                <w:sz w:val="24"/>
                <w:highlight w:val="none"/>
              </w:rPr>
              <w:t>分值</w:t>
            </w:r>
          </w:p>
        </w:tc>
        <w:tc>
          <w:tcPr>
            <w:tcW w:w="874" w:type="dxa"/>
            <w:vAlign w:val="center"/>
          </w:tcPr>
          <w:p>
            <w:pPr>
              <w:widowControl/>
              <w:spacing w:line="400" w:lineRule="exact"/>
              <w:jc w:val="center"/>
              <w:rPr>
                <w:rFonts w:hint="eastAsia" w:ascii="仿宋_GB2312" w:hAnsi="仿宋_GB2312" w:cs="仿宋_GB2312"/>
                <w:b/>
                <w:bCs/>
                <w:color w:val="auto"/>
                <w:kern w:val="0"/>
                <w:sz w:val="24"/>
                <w:highlight w:val="none"/>
              </w:rPr>
            </w:pPr>
            <w:r>
              <w:rPr>
                <w:rFonts w:hint="eastAsia" w:ascii="仿宋_GB2312" w:hAnsi="仿宋_GB2312" w:cs="仿宋_GB2312"/>
                <w:b/>
                <w:bCs/>
                <w:color w:val="auto"/>
                <w:kern w:val="0"/>
                <w:sz w:val="24"/>
                <w:highlight w:val="none"/>
              </w:rPr>
              <w:t>得分</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595" w:hRule="atLeast"/>
          <w:jc w:val="center"/>
        </w:trPr>
        <w:tc>
          <w:tcPr>
            <w:tcW w:w="757" w:type="dxa"/>
            <w:vMerge w:val="restart"/>
            <w:vAlign w:val="center"/>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决策</w:t>
            </w:r>
          </w:p>
        </w:tc>
        <w:tc>
          <w:tcPr>
            <w:tcW w:w="1478" w:type="dxa"/>
            <w:vMerge w:val="restart"/>
            <w:vAlign w:val="center"/>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项目立项　</w:t>
            </w:r>
          </w:p>
        </w:tc>
        <w:tc>
          <w:tcPr>
            <w:tcW w:w="1875" w:type="dxa"/>
            <w:tcBorders>
              <w:right w:val="single" w:color="auto" w:sz="4" w:space="0"/>
            </w:tcBorders>
            <w:vAlign w:val="center"/>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立项依据</w:t>
            </w:r>
          </w:p>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充分性</w:t>
            </w:r>
          </w:p>
        </w:tc>
        <w:tc>
          <w:tcPr>
            <w:tcW w:w="3885" w:type="dxa"/>
            <w:tcBorders>
              <w:right w:val="single" w:color="auto" w:sz="4" w:space="0"/>
            </w:tcBorders>
            <w:vAlign w:val="top"/>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项目立项是否符合法律法规、相关政策、发展规划以及部门职责，用以反映和考核项目立项依据情况。</w:t>
            </w:r>
          </w:p>
        </w:tc>
        <w:tc>
          <w:tcPr>
            <w:tcW w:w="990" w:type="dxa"/>
            <w:tcBorders>
              <w:left w:val="single" w:color="auto" w:sz="4" w:space="0"/>
            </w:tcBorders>
            <w:vAlign w:val="center"/>
          </w:tcPr>
          <w:p>
            <w:pPr>
              <w:spacing w:line="400" w:lineRule="exact"/>
              <w:jc w:val="center"/>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4</w:t>
            </w:r>
          </w:p>
        </w:tc>
        <w:tc>
          <w:tcPr>
            <w:tcW w:w="874" w:type="dxa"/>
            <w:tcBorders>
              <w:bottom w:val="single" w:color="auto" w:sz="4" w:space="0"/>
            </w:tcBorders>
            <w:vAlign w:val="center"/>
          </w:tcPr>
          <w:p>
            <w:pPr>
              <w:spacing w:line="400" w:lineRule="exact"/>
              <w:jc w:val="center"/>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4</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547" w:hRule="atLeast"/>
          <w:jc w:val="center"/>
        </w:trPr>
        <w:tc>
          <w:tcPr>
            <w:tcW w:w="757" w:type="dxa"/>
            <w:vMerge w:val="continue"/>
            <w:vAlign w:val="center"/>
          </w:tcPr>
          <w:p>
            <w:pPr>
              <w:spacing w:line="400" w:lineRule="exact"/>
              <w:jc w:val="center"/>
              <w:rPr>
                <w:rFonts w:hint="eastAsia" w:ascii="仿宋_GB2312" w:hAnsi="仿宋_GB2312" w:cs="仿宋_GB2312"/>
                <w:color w:val="auto"/>
                <w:kern w:val="0"/>
                <w:sz w:val="24"/>
                <w:highlight w:val="none"/>
              </w:rPr>
            </w:pPr>
          </w:p>
        </w:tc>
        <w:tc>
          <w:tcPr>
            <w:tcW w:w="1478" w:type="dxa"/>
            <w:vMerge w:val="continue"/>
            <w:vAlign w:val="center"/>
          </w:tcPr>
          <w:p>
            <w:pPr>
              <w:widowControl/>
              <w:spacing w:line="400" w:lineRule="exact"/>
              <w:jc w:val="center"/>
              <w:rPr>
                <w:rFonts w:hint="eastAsia" w:ascii="仿宋_GB2312" w:hAnsi="仿宋_GB2312" w:cs="仿宋_GB2312"/>
                <w:color w:val="auto"/>
                <w:kern w:val="0"/>
                <w:sz w:val="24"/>
                <w:highlight w:val="none"/>
              </w:rPr>
            </w:pPr>
          </w:p>
        </w:tc>
        <w:tc>
          <w:tcPr>
            <w:tcW w:w="1875" w:type="dxa"/>
            <w:tcBorders>
              <w:right w:val="single" w:color="auto" w:sz="4" w:space="0"/>
            </w:tcBorders>
            <w:vAlign w:val="center"/>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立项程序</w:t>
            </w:r>
          </w:p>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规范性</w:t>
            </w:r>
          </w:p>
        </w:tc>
        <w:tc>
          <w:tcPr>
            <w:tcW w:w="3885" w:type="dxa"/>
            <w:tcBorders>
              <w:right w:val="single" w:color="auto" w:sz="4" w:space="0"/>
            </w:tcBorders>
            <w:vAlign w:val="top"/>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项目申请、设立过程是否符合相关要求，用以反映和考核项目立项的规范情况</w:t>
            </w:r>
          </w:p>
        </w:tc>
        <w:tc>
          <w:tcPr>
            <w:tcW w:w="990" w:type="dxa"/>
            <w:tcBorders>
              <w:left w:val="single" w:color="auto" w:sz="4" w:space="0"/>
            </w:tcBorders>
            <w:vAlign w:val="center"/>
          </w:tcPr>
          <w:p>
            <w:pPr>
              <w:spacing w:line="400" w:lineRule="exact"/>
              <w:jc w:val="center"/>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3</w:t>
            </w:r>
          </w:p>
        </w:tc>
        <w:tc>
          <w:tcPr>
            <w:tcW w:w="874" w:type="dxa"/>
            <w:vAlign w:val="center"/>
          </w:tcPr>
          <w:p>
            <w:pPr>
              <w:spacing w:line="400" w:lineRule="exact"/>
              <w:jc w:val="center"/>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3</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513" w:hRule="atLeast"/>
          <w:jc w:val="center"/>
        </w:trPr>
        <w:tc>
          <w:tcPr>
            <w:tcW w:w="757" w:type="dxa"/>
            <w:vMerge w:val="continue"/>
            <w:vAlign w:val="center"/>
          </w:tcPr>
          <w:p>
            <w:pPr>
              <w:spacing w:line="400" w:lineRule="exact"/>
              <w:jc w:val="center"/>
              <w:rPr>
                <w:rFonts w:hint="eastAsia" w:ascii="仿宋_GB2312" w:hAnsi="仿宋_GB2312" w:cs="仿宋_GB2312"/>
                <w:color w:val="auto"/>
                <w:kern w:val="0"/>
                <w:sz w:val="24"/>
                <w:highlight w:val="none"/>
              </w:rPr>
            </w:pPr>
          </w:p>
        </w:tc>
        <w:tc>
          <w:tcPr>
            <w:tcW w:w="1478" w:type="dxa"/>
            <w:vMerge w:val="restart"/>
            <w:vAlign w:val="center"/>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绩效目标</w:t>
            </w:r>
          </w:p>
        </w:tc>
        <w:tc>
          <w:tcPr>
            <w:tcW w:w="1875" w:type="dxa"/>
            <w:tcBorders>
              <w:right w:val="single" w:color="auto" w:sz="4" w:space="0"/>
            </w:tcBorders>
            <w:vAlign w:val="center"/>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绩效目标</w:t>
            </w:r>
          </w:p>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合理性</w:t>
            </w:r>
          </w:p>
        </w:tc>
        <w:tc>
          <w:tcPr>
            <w:tcW w:w="3885" w:type="dxa"/>
            <w:tcBorders>
              <w:right w:val="single" w:color="auto" w:sz="4" w:space="0"/>
            </w:tcBorders>
            <w:vAlign w:val="top"/>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项目所设定的绩效目标是否依据充分，是否符合客观实际，用以反映和考核项目绩效目标与项目实施的相符情况。</w:t>
            </w:r>
          </w:p>
        </w:tc>
        <w:tc>
          <w:tcPr>
            <w:tcW w:w="990" w:type="dxa"/>
            <w:tcBorders>
              <w:left w:val="single" w:color="auto" w:sz="4" w:space="0"/>
            </w:tcBorders>
            <w:vAlign w:val="center"/>
          </w:tcPr>
          <w:p>
            <w:pPr>
              <w:spacing w:line="400" w:lineRule="exact"/>
              <w:jc w:val="center"/>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5</w:t>
            </w:r>
          </w:p>
        </w:tc>
        <w:tc>
          <w:tcPr>
            <w:tcW w:w="874" w:type="dxa"/>
            <w:vAlign w:val="center"/>
          </w:tcPr>
          <w:p>
            <w:pPr>
              <w:spacing w:line="400" w:lineRule="exact"/>
              <w:jc w:val="center"/>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5</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493" w:hRule="atLeast"/>
          <w:jc w:val="center"/>
        </w:trPr>
        <w:tc>
          <w:tcPr>
            <w:tcW w:w="757" w:type="dxa"/>
            <w:vMerge w:val="continue"/>
            <w:vAlign w:val="center"/>
          </w:tcPr>
          <w:p>
            <w:pPr>
              <w:widowControl/>
              <w:spacing w:line="400" w:lineRule="exact"/>
              <w:jc w:val="center"/>
              <w:rPr>
                <w:rFonts w:hint="eastAsia" w:ascii="仿宋_GB2312" w:hAnsi="仿宋_GB2312" w:cs="仿宋_GB2312"/>
                <w:color w:val="auto"/>
                <w:kern w:val="0"/>
                <w:sz w:val="24"/>
                <w:highlight w:val="none"/>
              </w:rPr>
            </w:pPr>
          </w:p>
        </w:tc>
        <w:tc>
          <w:tcPr>
            <w:tcW w:w="1478" w:type="dxa"/>
            <w:vMerge w:val="continue"/>
            <w:vAlign w:val="center"/>
          </w:tcPr>
          <w:p>
            <w:pPr>
              <w:widowControl/>
              <w:spacing w:line="400" w:lineRule="exact"/>
              <w:jc w:val="center"/>
              <w:rPr>
                <w:rFonts w:hint="eastAsia" w:ascii="仿宋_GB2312" w:hAnsi="仿宋_GB2312" w:cs="仿宋_GB2312"/>
                <w:color w:val="auto"/>
                <w:kern w:val="0"/>
                <w:sz w:val="24"/>
                <w:highlight w:val="none"/>
              </w:rPr>
            </w:pPr>
          </w:p>
        </w:tc>
        <w:tc>
          <w:tcPr>
            <w:tcW w:w="1875" w:type="dxa"/>
            <w:tcBorders>
              <w:right w:val="single" w:color="auto" w:sz="4" w:space="0"/>
            </w:tcBorders>
            <w:vAlign w:val="center"/>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绩效指标</w:t>
            </w:r>
          </w:p>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明确性</w:t>
            </w:r>
          </w:p>
        </w:tc>
        <w:tc>
          <w:tcPr>
            <w:tcW w:w="3885" w:type="dxa"/>
            <w:tcBorders>
              <w:right w:val="single" w:color="auto" w:sz="4" w:space="0"/>
            </w:tcBorders>
            <w:vAlign w:val="top"/>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依据绩效目标设定的绩效指标是否清晰、细化、可衡量等，用以反映和考核项目绩效目标的明细化情况。</w:t>
            </w:r>
          </w:p>
        </w:tc>
        <w:tc>
          <w:tcPr>
            <w:tcW w:w="990" w:type="dxa"/>
            <w:tcBorders>
              <w:left w:val="single" w:color="auto" w:sz="4" w:space="0"/>
            </w:tcBorders>
            <w:vAlign w:val="center"/>
          </w:tcPr>
          <w:p>
            <w:pPr>
              <w:spacing w:line="400" w:lineRule="exact"/>
              <w:jc w:val="center"/>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3</w:t>
            </w:r>
          </w:p>
        </w:tc>
        <w:tc>
          <w:tcPr>
            <w:tcW w:w="874" w:type="dxa"/>
            <w:tcBorders>
              <w:bottom w:val="single" w:color="auto" w:sz="4" w:space="0"/>
            </w:tcBorders>
            <w:vAlign w:val="center"/>
          </w:tcPr>
          <w:p>
            <w:pPr>
              <w:spacing w:line="400" w:lineRule="exact"/>
              <w:jc w:val="center"/>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3</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601" w:hRule="atLeast"/>
          <w:jc w:val="center"/>
        </w:trPr>
        <w:tc>
          <w:tcPr>
            <w:tcW w:w="757" w:type="dxa"/>
            <w:vMerge w:val="continue"/>
            <w:vAlign w:val="center"/>
          </w:tcPr>
          <w:p>
            <w:pPr>
              <w:spacing w:line="400" w:lineRule="exact"/>
              <w:jc w:val="center"/>
              <w:rPr>
                <w:rFonts w:hint="eastAsia" w:ascii="仿宋_GB2312" w:hAnsi="仿宋_GB2312" w:cs="仿宋_GB2312"/>
                <w:color w:val="auto"/>
                <w:kern w:val="0"/>
                <w:sz w:val="24"/>
                <w:highlight w:val="none"/>
              </w:rPr>
            </w:pPr>
          </w:p>
        </w:tc>
        <w:tc>
          <w:tcPr>
            <w:tcW w:w="1478" w:type="dxa"/>
            <w:vMerge w:val="restart"/>
            <w:vAlign w:val="center"/>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资金投入</w:t>
            </w:r>
          </w:p>
          <w:p>
            <w:pPr>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　</w:t>
            </w:r>
          </w:p>
        </w:tc>
        <w:tc>
          <w:tcPr>
            <w:tcW w:w="1875" w:type="dxa"/>
            <w:tcBorders>
              <w:right w:val="single" w:color="auto" w:sz="4" w:space="0"/>
            </w:tcBorders>
            <w:vAlign w:val="center"/>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预算编制</w:t>
            </w:r>
          </w:p>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科学性</w:t>
            </w:r>
          </w:p>
        </w:tc>
        <w:tc>
          <w:tcPr>
            <w:tcW w:w="3885" w:type="dxa"/>
            <w:tcBorders>
              <w:right w:val="single" w:color="auto" w:sz="4" w:space="0"/>
            </w:tcBorders>
            <w:vAlign w:val="top"/>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项目预算编制是否经过科学论证、有明确标准，资金额度与年度目标是否相适应，用以反映和考核项目预算编制的科学性、合理性情况。</w:t>
            </w:r>
          </w:p>
        </w:tc>
        <w:tc>
          <w:tcPr>
            <w:tcW w:w="990" w:type="dxa"/>
            <w:tcBorders>
              <w:left w:val="single" w:color="auto" w:sz="4" w:space="0"/>
            </w:tcBorders>
            <w:vAlign w:val="center"/>
          </w:tcPr>
          <w:p>
            <w:pPr>
              <w:spacing w:line="400" w:lineRule="exact"/>
              <w:jc w:val="center"/>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4</w:t>
            </w:r>
          </w:p>
        </w:tc>
        <w:tc>
          <w:tcPr>
            <w:tcW w:w="874" w:type="dxa"/>
            <w:tcBorders>
              <w:bottom w:val="single" w:color="auto" w:sz="4" w:space="0"/>
            </w:tcBorders>
            <w:vAlign w:val="center"/>
          </w:tcPr>
          <w:p>
            <w:pPr>
              <w:spacing w:line="400" w:lineRule="exact"/>
              <w:jc w:val="center"/>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4</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554" w:hRule="atLeast"/>
          <w:jc w:val="center"/>
        </w:trPr>
        <w:tc>
          <w:tcPr>
            <w:tcW w:w="757" w:type="dxa"/>
            <w:vMerge w:val="continue"/>
            <w:vAlign w:val="center"/>
          </w:tcPr>
          <w:p>
            <w:pPr>
              <w:widowControl/>
              <w:spacing w:line="400" w:lineRule="exact"/>
              <w:jc w:val="center"/>
              <w:rPr>
                <w:rFonts w:hint="eastAsia" w:ascii="仿宋_GB2312" w:hAnsi="仿宋_GB2312" w:cs="仿宋_GB2312"/>
                <w:color w:val="auto"/>
                <w:kern w:val="0"/>
                <w:sz w:val="24"/>
                <w:highlight w:val="none"/>
              </w:rPr>
            </w:pPr>
          </w:p>
        </w:tc>
        <w:tc>
          <w:tcPr>
            <w:tcW w:w="1478" w:type="dxa"/>
            <w:vMerge w:val="continue"/>
            <w:vAlign w:val="center"/>
          </w:tcPr>
          <w:p>
            <w:pPr>
              <w:widowControl/>
              <w:spacing w:line="400" w:lineRule="exact"/>
              <w:jc w:val="center"/>
              <w:rPr>
                <w:rFonts w:hint="eastAsia" w:ascii="仿宋_GB2312" w:hAnsi="仿宋_GB2312" w:cs="仿宋_GB2312"/>
                <w:color w:val="auto"/>
                <w:kern w:val="0"/>
                <w:sz w:val="24"/>
                <w:highlight w:val="none"/>
              </w:rPr>
            </w:pPr>
          </w:p>
        </w:tc>
        <w:tc>
          <w:tcPr>
            <w:tcW w:w="1875" w:type="dxa"/>
            <w:tcBorders>
              <w:right w:val="single" w:color="auto" w:sz="4" w:space="0"/>
            </w:tcBorders>
            <w:vAlign w:val="center"/>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资金分配</w:t>
            </w:r>
          </w:p>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合理性</w:t>
            </w:r>
          </w:p>
        </w:tc>
        <w:tc>
          <w:tcPr>
            <w:tcW w:w="3885" w:type="dxa"/>
            <w:tcBorders>
              <w:right w:val="single" w:color="auto" w:sz="4" w:space="0"/>
            </w:tcBorders>
            <w:vAlign w:val="top"/>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项目预算资金分配是否有测算依据，与补助单位或地方实际是否相适应，用以反映和考核项目预算资金分配的科学性、合理性情况。</w:t>
            </w:r>
          </w:p>
        </w:tc>
        <w:tc>
          <w:tcPr>
            <w:tcW w:w="990" w:type="dxa"/>
            <w:tcBorders>
              <w:left w:val="single" w:color="auto" w:sz="4" w:space="0"/>
            </w:tcBorders>
            <w:vAlign w:val="center"/>
          </w:tcPr>
          <w:p>
            <w:pPr>
              <w:spacing w:line="400" w:lineRule="exact"/>
              <w:jc w:val="center"/>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4</w:t>
            </w:r>
          </w:p>
        </w:tc>
        <w:tc>
          <w:tcPr>
            <w:tcW w:w="874" w:type="dxa"/>
            <w:vAlign w:val="center"/>
          </w:tcPr>
          <w:p>
            <w:pPr>
              <w:spacing w:line="400" w:lineRule="exact"/>
              <w:jc w:val="center"/>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4</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548" w:hRule="atLeast"/>
          <w:jc w:val="center"/>
        </w:trPr>
        <w:tc>
          <w:tcPr>
            <w:tcW w:w="757" w:type="dxa"/>
            <w:vMerge w:val="restart"/>
            <w:vAlign w:val="center"/>
          </w:tcPr>
          <w:p>
            <w:pPr>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过程</w:t>
            </w:r>
          </w:p>
        </w:tc>
        <w:tc>
          <w:tcPr>
            <w:tcW w:w="1478" w:type="dxa"/>
            <w:vMerge w:val="restart"/>
            <w:vAlign w:val="center"/>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资金管理</w:t>
            </w:r>
          </w:p>
        </w:tc>
        <w:tc>
          <w:tcPr>
            <w:tcW w:w="1875" w:type="dxa"/>
            <w:tcBorders>
              <w:right w:val="single" w:color="auto" w:sz="4" w:space="0"/>
            </w:tcBorders>
            <w:vAlign w:val="center"/>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资金到位率</w:t>
            </w:r>
          </w:p>
        </w:tc>
        <w:tc>
          <w:tcPr>
            <w:tcW w:w="3885" w:type="dxa"/>
            <w:tcBorders>
              <w:right w:val="single" w:color="auto" w:sz="4" w:space="0"/>
            </w:tcBorders>
            <w:vAlign w:val="top"/>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实际到位资金与预算资金的比率，用以反映和考核资金落实情况对项目实施的总体保障程度。</w:t>
            </w:r>
          </w:p>
        </w:tc>
        <w:tc>
          <w:tcPr>
            <w:tcW w:w="990" w:type="dxa"/>
            <w:tcBorders>
              <w:left w:val="single" w:color="auto" w:sz="4" w:space="0"/>
            </w:tcBorders>
            <w:vAlign w:val="center"/>
          </w:tcPr>
          <w:p>
            <w:pPr>
              <w:spacing w:line="400" w:lineRule="exact"/>
              <w:jc w:val="center"/>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4</w:t>
            </w:r>
          </w:p>
        </w:tc>
        <w:tc>
          <w:tcPr>
            <w:tcW w:w="874" w:type="dxa"/>
            <w:tcBorders>
              <w:bottom w:val="single" w:color="auto" w:sz="4" w:space="0"/>
            </w:tcBorders>
            <w:vAlign w:val="center"/>
          </w:tcPr>
          <w:p>
            <w:pPr>
              <w:spacing w:line="400" w:lineRule="exact"/>
              <w:jc w:val="center"/>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4</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682" w:hRule="atLeast"/>
          <w:jc w:val="center"/>
        </w:trPr>
        <w:tc>
          <w:tcPr>
            <w:tcW w:w="757" w:type="dxa"/>
            <w:vMerge w:val="continue"/>
            <w:vAlign w:val="center"/>
          </w:tcPr>
          <w:p>
            <w:pPr>
              <w:spacing w:line="400" w:lineRule="exact"/>
              <w:jc w:val="center"/>
              <w:rPr>
                <w:rFonts w:hint="eastAsia" w:ascii="仿宋_GB2312" w:hAnsi="仿宋_GB2312" w:cs="仿宋_GB2312"/>
                <w:color w:val="auto"/>
                <w:kern w:val="0"/>
                <w:sz w:val="24"/>
                <w:highlight w:val="none"/>
              </w:rPr>
            </w:pPr>
          </w:p>
        </w:tc>
        <w:tc>
          <w:tcPr>
            <w:tcW w:w="1478" w:type="dxa"/>
            <w:vMerge w:val="continue"/>
            <w:vAlign w:val="center"/>
          </w:tcPr>
          <w:p>
            <w:pPr>
              <w:spacing w:line="400" w:lineRule="exact"/>
              <w:jc w:val="center"/>
              <w:rPr>
                <w:rFonts w:hint="eastAsia" w:ascii="仿宋_GB2312" w:hAnsi="仿宋_GB2312" w:cs="仿宋_GB2312"/>
                <w:color w:val="auto"/>
                <w:kern w:val="0"/>
                <w:sz w:val="24"/>
                <w:highlight w:val="none"/>
              </w:rPr>
            </w:pPr>
          </w:p>
        </w:tc>
        <w:tc>
          <w:tcPr>
            <w:tcW w:w="1875" w:type="dxa"/>
            <w:tcBorders>
              <w:right w:val="single" w:color="auto" w:sz="4" w:space="0"/>
            </w:tcBorders>
            <w:vAlign w:val="center"/>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预算执行率</w:t>
            </w:r>
          </w:p>
        </w:tc>
        <w:tc>
          <w:tcPr>
            <w:tcW w:w="3885" w:type="dxa"/>
            <w:tcBorders>
              <w:right w:val="single" w:color="auto" w:sz="4" w:space="0"/>
            </w:tcBorders>
            <w:vAlign w:val="top"/>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项目预算资金是否按照计划执行，用以反映或考核项目预算执行情况</w:t>
            </w:r>
          </w:p>
        </w:tc>
        <w:tc>
          <w:tcPr>
            <w:tcW w:w="990" w:type="dxa"/>
            <w:tcBorders>
              <w:left w:val="single" w:color="auto" w:sz="4" w:space="0"/>
            </w:tcBorders>
            <w:vAlign w:val="center"/>
          </w:tcPr>
          <w:p>
            <w:pPr>
              <w:spacing w:line="400" w:lineRule="exact"/>
              <w:jc w:val="center"/>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5</w:t>
            </w:r>
          </w:p>
        </w:tc>
        <w:tc>
          <w:tcPr>
            <w:tcW w:w="874" w:type="dxa"/>
            <w:tcBorders>
              <w:bottom w:val="single" w:color="auto" w:sz="4" w:space="0"/>
            </w:tcBorders>
            <w:vAlign w:val="center"/>
          </w:tcPr>
          <w:p>
            <w:pPr>
              <w:spacing w:line="400" w:lineRule="exact"/>
              <w:jc w:val="center"/>
              <w:rPr>
                <w:rFonts w:hint="default" w:ascii="仿宋_GB2312" w:hAnsi="仿宋_GB2312" w:eastAsia="仿宋_GB2312" w:cs="仿宋_GB2312"/>
                <w:color w:val="auto"/>
                <w:sz w:val="24"/>
                <w:highlight w:val="none"/>
                <w:lang w:val="en-US" w:eastAsia="zh-CN"/>
              </w:rPr>
            </w:pPr>
            <w:r>
              <w:rPr>
                <w:rFonts w:hint="eastAsia" w:ascii="仿宋_GB2312" w:hAnsi="仿宋_GB2312" w:cs="仿宋_GB2312"/>
                <w:color w:val="auto"/>
                <w:sz w:val="24"/>
                <w:highlight w:val="none"/>
                <w:lang w:val="en-US" w:eastAsia="zh-CN"/>
              </w:rPr>
              <w:t>4.8</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547" w:hRule="atLeast"/>
          <w:jc w:val="center"/>
        </w:trPr>
        <w:tc>
          <w:tcPr>
            <w:tcW w:w="757" w:type="dxa"/>
            <w:vMerge w:val="continue"/>
            <w:vAlign w:val="center"/>
          </w:tcPr>
          <w:p>
            <w:pPr>
              <w:spacing w:line="400" w:lineRule="exact"/>
              <w:jc w:val="center"/>
              <w:rPr>
                <w:rFonts w:hint="eastAsia" w:ascii="仿宋_GB2312" w:hAnsi="仿宋_GB2312" w:cs="仿宋_GB2312"/>
                <w:color w:val="auto"/>
                <w:kern w:val="0"/>
                <w:sz w:val="24"/>
                <w:highlight w:val="none"/>
              </w:rPr>
            </w:pPr>
          </w:p>
        </w:tc>
        <w:tc>
          <w:tcPr>
            <w:tcW w:w="1478" w:type="dxa"/>
            <w:vAlign w:val="center"/>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资金管理</w:t>
            </w:r>
          </w:p>
        </w:tc>
        <w:tc>
          <w:tcPr>
            <w:tcW w:w="1875" w:type="dxa"/>
            <w:tcBorders>
              <w:right w:val="single" w:color="auto" w:sz="4" w:space="0"/>
            </w:tcBorders>
            <w:vAlign w:val="center"/>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资金使用</w:t>
            </w:r>
          </w:p>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合规性</w:t>
            </w:r>
          </w:p>
        </w:tc>
        <w:tc>
          <w:tcPr>
            <w:tcW w:w="3885" w:type="dxa"/>
            <w:tcBorders>
              <w:right w:val="single" w:color="auto" w:sz="4" w:space="0"/>
            </w:tcBorders>
            <w:vAlign w:val="top"/>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项目资金使用是否符合相关的财务管理制度规定，用以反映和考核项目资金的规范运行情况。</w:t>
            </w:r>
          </w:p>
        </w:tc>
        <w:tc>
          <w:tcPr>
            <w:tcW w:w="990" w:type="dxa"/>
            <w:tcBorders>
              <w:left w:val="single" w:color="auto" w:sz="4" w:space="0"/>
            </w:tcBorders>
            <w:vAlign w:val="center"/>
          </w:tcPr>
          <w:p>
            <w:pPr>
              <w:spacing w:line="400" w:lineRule="exact"/>
              <w:jc w:val="center"/>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3</w:t>
            </w:r>
          </w:p>
        </w:tc>
        <w:tc>
          <w:tcPr>
            <w:tcW w:w="874" w:type="dxa"/>
            <w:tcBorders>
              <w:bottom w:val="single" w:color="auto" w:sz="4" w:space="0"/>
            </w:tcBorders>
            <w:vAlign w:val="center"/>
          </w:tcPr>
          <w:p>
            <w:pPr>
              <w:spacing w:line="400" w:lineRule="exact"/>
              <w:jc w:val="center"/>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3</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386" w:hRule="atLeast"/>
          <w:jc w:val="center"/>
        </w:trPr>
        <w:tc>
          <w:tcPr>
            <w:tcW w:w="757" w:type="dxa"/>
            <w:vMerge w:val="continue"/>
            <w:vAlign w:val="center"/>
          </w:tcPr>
          <w:p>
            <w:pPr>
              <w:spacing w:line="400" w:lineRule="exact"/>
              <w:jc w:val="center"/>
              <w:rPr>
                <w:rFonts w:hint="eastAsia" w:ascii="仿宋_GB2312" w:hAnsi="仿宋_GB2312" w:cs="仿宋_GB2312"/>
                <w:color w:val="auto"/>
                <w:kern w:val="0"/>
                <w:sz w:val="24"/>
                <w:highlight w:val="none"/>
              </w:rPr>
            </w:pPr>
          </w:p>
        </w:tc>
        <w:tc>
          <w:tcPr>
            <w:tcW w:w="1478" w:type="dxa"/>
            <w:vMerge w:val="restart"/>
            <w:vAlign w:val="center"/>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组织实施</w:t>
            </w:r>
          </w:p>
          <w:p>
            <w:pPr>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　</w:t>
            </w:r>
          </w:p>
        </w:tc>
        <w:tc>
          <w:tcPr>
            <w:tcW w:w="1875" w:type="dxa"/>
            <w:tcBorders>
              <w:right w:val="single" w:color="auto" w:sz="4" w:space="0"/>
            </w:tcBorders>
            <w:vAlign w:val="center"/>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管理制度</w:t>
            </w:r>
          </w:p>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健全性</w:t>
            </w:r>
          </w:p>
        </w:tc>
        <w:tc>
          <w:tcPr>
            <w:tcW w:w="3885" w:type="dxa"/>
            <w:tcBorders>
              <w:right w:val="single" w:color="auto" w:sz="4" w:space="0"/>
            </w:tcBorders>
            <w:vAlign w:val="top"/>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项目实施单位的财务和业务管理制度是否健全，用以反映和考核财务和业务管理制度对项目顺利实施的保障情况。</w:t>
            </w:r>
          </w:p>
        </w:tc>
        <w:tc>
          <w:tcPr>
            <w:tcW w:w="990" w:type="dxa"/>
            <w:tcBorders>
              <w:left w:val="single" w:color="auto" w:sz="4" w:space="0"/>
            </w:tcBorders>
            <w:vAlign w:val="center"/>
          </w:tcPr>
          <w:p>
            <w:pPr>
              <w:spacing w:line="400" w:lineRule="exact"/>
              <w:jc w:val="center"/>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3</w:t>
            </w:r>
          </w:p>
        </w:tc>
        <w:tc>
          <w:tcPr>
            <w:tcW w:w="874" w:type="dxa"/>
            <w:tcBorders>
              <w:bottom w:val="single" w:color="auto" w:sz="4" w:space="0"/>
            </w:tcBorders>
            <w:vAlign w:val="center"/>
          </w:tcPr>
          <w:p>
            <w:pPr>
              <w:spacing w:line="400" w:lineRule="exact"/>
              <w:jc w:val="center"/>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3</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777" w:hRule="atLeast"/>
          <w:jc w:val="center"/>
        </w:trPr>
        <w:tc>
          <w:tcPr>
            <w:tcW w:w="757" w:type="dxa"/>
            <w:vMerge w:val="continue"/>
            <w:vAlign w:val="center"/>
          </w:tcPr>
          <w:p>
            <w:pPr>
              <w:widowControl/>
              <w:spacing w:line="400" w:lineRule="exact"/>
              <w:jc w:val="center"/>
              <w:rPr>
                <w:rFonts w:hint="eastAsia" w:ascii="仿宋_GB2312" w:hAnsi="仿宋_GB2312" w:cs="仿宋_GB2312"/>
                <w:color w:val="auto"/>
                <w:kern w:val="0"/>
                <w:sz w:val="24"/>
                <w:highlight w:val="none"/>
              </w:rPr>
            </w:pPr>
          </w:p>
        </w:tc>
        <w:tc>
          <w:tcPr>
            <w:tcW w:w="1478" w:type="dxa"/>
            <w:vMerge w:val="continue"/>
            <w:vAlign w:val="center"/>
          </w:tcPr>
          <w:p>
            <w:pPr>
              <w:widowControl/>
              <w:spacing w:line="400" w:lineRule="exact"/>
              <w:jc w:val="center"/>
              <w:rPr>
                <w:rFonts w:hint="eastAsia" w:ascii="仿宋_GB2312" w:hAnsi="仿宋_GB2312" w:cs="仿宋_GB2312"/>
                <w:color w:val="auto"/>
                <w:kern w:val="0"/>
                <w:sz w:val="24"/>
                <w:highlight w:val="none"/>
              </w:rPr>
            </w:pPr>
          </w:p>
        </w:tc>
        <w:tc>
          <w:tcPr>
            <w:tcW w:w="1875" w:type="dxa"/>
            <w:tcBorders>
              <w:right w:val="single" w:color="auto" w:sz="4" w:space="0"/>
            </w:tcBorders>
            <w:vAlign w:val="center"/>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制度执行</w:t>
            </w:r>
          </w:p>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有效性</w:t>
            </w:r>
          </w:p>
        </w:tc>
        <w:tc>
          <w:tcPr>
            <w:tcW w:w="3885" w:type="dxa"/>
            <w:tcBorders>
              <w:right w:val="single" w:color="auto" w:sz="4" w:space="0"/>
            </w:tcBorders>
            <w:vAlign w:val="top"/>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项目实施是否符合相关管理规定，用以反映和考核相关管理制度的有效执行情况。</w:t>
            </w:r>
          </w:p>
        </w:tc>
        <w:tc>
          <w:tcPr>
            <w:tcW w:w="990" w:type="dxa"/>
            <w:tcBorders>
              <w:left w:val="single" w:color="auto" w:sz="4" w:space="0"/>
            </w:tcBorders>
            <w:vAlign w:val="center"/>
          </w:tcPr>
          <w:p>
            <w:pPr>
              <w:spacing w:line="400" w:lineRule="exact"/>
              <w:jc w:val="center"/>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2</w:t>
            </w:r>
          </w:p>
        </w:tc>
        <w:tc>
          <w:tcPr>
            <w:tcW w:w="874" w:type="dxa"/>
            <w:tcBorders>
              <w:bottom w:val="single" w:color="auto" w:sz="4" w:space="0"/>
            </w:tcBorders>
            <w:vAlign w:val="center"/>
          </w:tcPr>
          <w:p>
            <w:pPr>
              <w:spacing w:line="400" w:lineRule="exact"/>
              <w:jc w:val="center"/>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2</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536" w:hRule="atLeast"/>
          <w:jc w:val="center"/>
        </w:trPr>
        <w:tc>
          <w:tcPr>
            <w:tcW w:w="757" w:type="dxa"/>
            <w:vMerge w:val="restart"/>
            <w:vAlign w:val="center"/>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产出</w:t>
            </w:r>
          </w:p>
        </w:tc>
        <w:tc>
          <w:tcPr>
            <w:tcW w:w="1478" w:type="dxa"/>
            <w:vAlign w:val="center"/>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产出数量</w:t>
            </w:r>
          </w:p>
        </w:tc>
        <w:tc>
          <w:tcPr>
            <w:tcW w:w="1875" w:type="dxa"/>
            <w:tcBorders>
              <w:right w:val="single" w:color="auto" w:sz="4" w:space="0"/>
            </w:tcBorders>
            <w:vAlign w:val="center"/>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实际完成率</w:t>
            </w:r>
          </w:p>
        </w:tc>
        <w:tc>
          <w:tcPr>
            <w:tcW w:w="3885" w:type="dxa"/>
            <w:tcBorders>
              <w:right w:val="single" w:color="auto" w:sz="4" w:space="0"/>
            </w:tcBorders>
            <w:vAlign w:val="top"/>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项目实施的实际产出数与计划产出数的比率，用以反映和考核项目产出数量目标的实现程度。</w:t>
            </w:r>
          </w:p>
        </w:tc>
        <w:tc>
          <w:tcPr>
            <w:tcW w:w="990" w:type="dxa"/>
            <w:tcBorders>
              <w:left w:val="single" w:color="auto" w:sz="4" w:space="0"/>
            </w:tcBorders>
            <w:vAlign w:val="center"/>
          </w:tcPr>
          <w:p>
            <w:pPr>
              <w:spacing w:line="400" w:lineRule="exact"/>
              <w:jc w:val="center"/>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8</w:t>
            </w:r>
          </w:p>
        </w:tc>
        <w:tc>
          <w:tcPr>
            <w:tcW w:w="874" w:type="dxa"/>
            <w:vAlign w:val="center"/>
          </w:tcPr>
          <w:p>
            <w:pPr>
              <w:spacing w:line="400" w:lineRule="exact"/>
              <w:jc w:val="center"/>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8</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544" w:hRule="atLeast"/>
          <w:jc w:val="center"/>
        </w:trPr>
        <w:tc>
          <w:tcPr>
            <w:tcW w:w="757" w:type="dxa"/>
            <w:vMerge w:val="continue"/>
            <w:vAlign w:val="center"/>
          </w:tcPr>
          <w:p>
            <w:pPr>
              <w:widowControl/>
              <w:spacing w:line="400" w:lineRule="exact"/>
              <w:jc w:val="center"/>
              <w:rPr>
                <w:rFonts w:hint="eastAsia" w:ascii="仿宋_GB2312" w:hAnsi="仿宋_GB2312" w:cs="仿宋_GB2312"/>
                <w:color w:val="auto"/>
                <w:kern w:val="0"/>
                <w:sz w:val="24"/>
                <w:highlight w:val="none"/>
              </w:rPr>
            </w:pPr>
          </w:p>
        </w:tc>
        <w:tc>
          <w:tcPr>
            <w:tcW w:w="1478" w:type="dxa"/>
            <w:vAlign w:val="center"/>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产出质量</w:t>
            </w:r>
          </w:p>
        </w:tc>
        <w:tc>
          <w:tcPr>
            <w:tcW w:w="1875" w:type="dxa"/>
            <w:tcBorders>
              <w:right w:val="single" w:color="auto" w:sz="4" w:space="0"/>
            </w:tcBorders>
            <w:vAlign w:val="center"/>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质量达标率</w:t>
            </w:r>
          </w:p>
        </w:tc>
        <w:tc>
          <w:tcPr>
            <w:tcW w:w="3885" w:type="dxa"/>
            <w:tcBorders>
              <w:right w:val="single" w:color="auto" w:sz="4" w:space="0"/>
            </w:tcBorders>
            <w:vAlign w:val="top"/>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项目完成的质量达标产出数与实际产出数的比率，用以反映和考核项目产出质量目标的实现程度。</w:t>
            </w:r>
          </w:p>
        </w:tc>
        <w:tc>
          <w:tcPr>
            <w:tcW w:w="990" w:type="dxa"/>
            <w:tcBorders>
              <w:left w:val="single" w:color="auto" w:sz="4" w:space="0"/>
            </w:tcBorders>
            <w:vAlign w:val="center"/>
          </w:tcPr>
          <w:p>
            <w:pPr>
              <w:spacing w:line="400" w:lineRule="exact"/>
              <w:jc w:val="center"/>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7</w:t>
            </w:r>
          </w:p>
        </w:tc>
        <w:tc>
          <w:tcPr>
            <w:tcW w:w="874" w:type="dxa"/>
            <w:vAlign w:val="center"/>
          </w:tcPr>
          <w:p>
            <w:pPr>
              <w:spacing w:line="400" w:lineRule="exact"/>
              <w:jc w:val="center"/>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7</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409" w:hRule="atLeast"/>
          <w:jc w:val="center"/>
        </w:trPr>
        <w:tc>
          <w:tcPr>
            <w:tcW w:w="757" w:type="dxa"/>
            <w:vMerge w:val="continue"/>
            <w:vAlign w:val="center"/>
          </w:tcPr>
          <w:p>
            <w:pPr>
              <w:spacing w:line="400" w:lineRule="exact"/>
              <w:jc w:val="center"/>
              <w:rPr>
                <w:rFonts w:hint="eastAsia" w:ascii="仿宋_GB2312" w:hAnsi="仿宋_GB2312" w:cs="仿宋_GB2312"/>
                <w:color w:val="auto"/>
                <w:kern w:val="0"/>
                <w:sz w:val="24"/>
                <w:highlight w:val="none"/>
              </w:rPr>
            </w:pPr>
          </w:p>
        </w:tc>
        <w:tc>
          <w:tcPr>
            <w:tcW w:w="1478" w:type="dxa"/>
            <w:vAlign w:val="center"/>
          </w:tcPr>
          <w:p>
            <w:pPr>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产出时效</w:t>
            </w:r>
          </w:p>
        </w:tc>
        <w:tc>
          <w:tcPr>
            <w:tcW w:w="1875" w:type="dxa"/>
            <w:tcBorders>
              <w:right w:val="single" w:color="auto" w:sz="4" w:space="0"/>
            </w:tcBorders>
            <w:vAlign w:val="center"/>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完成及时性</w:t>
            </w:r>
          </w:p>
        </w:tc>
        <w:tc>
          <w:tcPr>
            <w:tcW w:w="3885" w:type="dxa"/>
            <w:tcBorders>
              <w:right w:val="single" w:color="auto" w:sz="4" w:space="0"/>
            </w:tcBorders>
            <w:vAlign w:val="top"/>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项目实际完成时间与计划完成时间的比较，用以反映和考核项目产出时效目标的实现程度。</w:t>
            </w:r>
          </w:p>
        </w:tc>
        <w:tc>
          <w:tcPr>
            <w:tcW w:w="990" w:type="dxa"/>
            <w:tcBorders>
              <w:left w:val="single" w:color="auto" w:sz="4" w:space="0"/>
            </w:tcBorders>
            <w:vAlign w:val="center"/>
          </w:tcPr>
          <w:p>
            <w:pPr>
              <w:spacing w:line="400" w:lineRule="exact"/>
              <w:jc w:val="center"/>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8</w:t>
            </w:r>
          </w:p>
        </w:tc>
        <w:tc>
          <w:tcPr>
            <w:tcW w:w="874" w:type="dxa"/>
            <w:vAlign w:val="center"/>
          </w:tcPr>
          <w:p>
            <w:pPr>
              <w:spacing w:line="400" w:lineRule="exact"/>
              <w:jc w:val="center"/>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8</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416" w:hRule="atLeast"/>
          <w:jc w:val="center"/>
        </w:trPr>
        <w:tc>
          <w:tcPr>
            <w:tcW w:w="757" w:type="dxa"/>
            <w:vMerge w:val="continue"/>
            <w:vAlign w:val="center"/>
          </w:tcPr>
          <w:p>
            <w:pPr>
              <w:widowControl/>
              <w:spacing w:line="400" w:lineRule="exact"/>
              <w:jc w:val="center"/>
              <w:rPr>
                <w:rFonts w:hint="eastAsia" w:ascii="仿宋_GB2312" w:hAnsi="仿宋_GB2312" w:cs="仿宋_GB2312"/>
                <w:color w:val="auto"/>
                <w:kern w:val="0"/>
                <w:sz w:val="24"/>
                <w:highlight w:val="none"/>
              </w:rPr>
            </w:pPr>
          </w:p>
        </w:tc>
        <w:tc>
          <w:tcPr>
            <w:tcW w:w="1478" w:type="dxa"/>
            <w:vAlign w:val="center"/>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产出成本</w:t>
            </w:r>
          </w:p>
        </w:tc>
        <w:tc>
          <w:tcPr>
            <w:tcW w:w="1875" w:type="dxa"/>
            <w:tcBorders>
              <w:right w:val="single" w:color="auto" w:sz="4" w:space="0"/>
            </w:tcBorders>
            <w:vAlign w:val="center"/>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成本节约率</w:t>
            </w:r>
          </w:p>
        </w:tc>
        <w:tc>
          <w:tcPr>
            <w:tcW w:w="3885" w:type="dxa"/>
            <w:tcBorders>
              <w:right w:val="single" w:color="auto" w:sz="4" w:space="0"/>
            </w:tcBorders>
            <w:vAlign w:val="top"/>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完成项目计划工作目标的实际节约成本与计划成本的比率，用以反映和考核项目的成本节约程度。</w:t>
            </w:r>
          </w:p>
        </w:tc>
        <w:tc>
          <w:tcPr>
            <w:tcW w:w="990" w:type="dxa"/>
            <w:tcBorders>
              <w:left w:val="single" w:color="auto" w:sz="4" w:space="0"/>
            </w:tcBorders>
            <w:vAlign w:val="center"/>
          </w:tcPr>
          <w:p>
            <w:pPr>
              <w:spacing w:line="400" w:lineRule="exact"/>
              <w:jc w:val="center"/>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7</w:t>
            </w:r>
          </w:p>
        </w:tc>
        <w:tc>
          <w:tcPr>
            <w:tcW w:w="874" w:type="dxa"/>
            <w:vAlign w:val="center"/>
          </w:tcPr>
          <w:p>
            <w:pPr>
              <w:spacing w:line="400" w:lineRule="exact"/>
              <w:jc w:val="center"/>
              <w:rPr>
                <w:rFonts w:hint="default" w:ascii="仿宋_GB2312" w:hAnsi="仿宋_GB2312" w:eastAsia="仿宋_GB2312" w:cs="仿宋_GB2312"/>
                <w:color w:val="auto"/>
                <w:sz w:val="24"/>
                <w:highlight w:val="none"/>
                <w:lang w:val="en-US" w:eastAsia="zh-CN"/>
              </w:rPr>
            </w:pPr>
            <w:r>
              <w:rPr>
                <w:rFonts w:hint="eastAsia" w:ascii="仿宋_GB2312" w:hAnsi="仿宋_GB2312" w:cs="仿宋_GB2312"/>
                <w:color w:val="auto"/>
                <w:sz w:val="24"/>
                <w:highlight w:val="none"/>
                <w:lang w:val="en-US" w:eastAsia="zh-CN"/>
              </w:rPr>
              <w:t>6.59</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505" w:hRule="atLeast"/>
          <w:jc w:val="center"/>
        </w:trPr>
        <w:tc>
          <w:tcPr>
            <w:tcW w:w="757" w:type="dxa"/>
            <w:vMerge w:val="restart"/>
            <w:vAlign w:val="center"/>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效益　</w:t>
            </w:r>
          </w:p>
        </w:tc>
        <w:tc>
          <w:tcPr>
            <w:tcW w:w="1478" w:type="dxa"/>
            <w:vMerge w:val="restart"/>
            <w:vAlign w:val="center"/>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项目效益　</w:t>
            </w:r>
          </w:p>
        </w:tc>
        <w:tc>
          <w:tcPr>
            <w:tcW w:w="1875" w:type="dxa"/>
            <w:tcBorders>
              <w:right w:val="single" w:color="auto" w:sz="4" w:space="0"/>
            </w:tcBorders>
            <w:vAlign w:val="center"/>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实施效益</w:t>
            </w:r>
          </w:p>
        </w:tc>
        <w:tc>
          <w:tcPr>
            <w:tcW w:w="3885" w:type="dxa"/>
            <w:tcBorders>
              <w:right w:val="single" w:color="auto" w:sz="4" w:space="0"/>
            </w:tcBorders>
            <w:vAlign w:val="top"/>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项目实施所产生的效益。</w:t>
            </w:r>
          </w:p>
        </w:tc>
        <w:tc>
          <w:tcPr>
            <w:tcW w:w="990" w:type="dxa"/>
            <w:tcBorders>
              <w:left w:val="single" w:color="auto" w:sz="4" w:space="0"/>
            </w:tcBorders>
            <w:vAlign w:val="center"/>
          </w:tcPr>
          <w:p>
            <w:pPr>
              <w:spacing w:line="400" w:lineRule="exact"/>
              <w:jc w:val="center"/>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20</w:t>
            </w:r>
          </w:p>
        </w:tc>
        <w:tc>
          <w:tcPr>
            <w:tcW w:w="874" w:type="dxa"/>
            <w:vAlign w:val="center"/>
          </w:tcPr>
          <w:p>
            <w:pPr>
              <w:spacing w:line="400" w:lineRule="exact"/>
              <w:jc w:val="center"/>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20</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520" w:hRule="atLeast"/>
          <w:jc w:val="center"/>
        </w:trPr>
        <w:tc>
          <w:tcPr>
            <w:tcW w:w="757" w:type="dxa"/>
            <w:vMerge w:val="continue"/>
            <w:vAlign w:val="center"/>
          </w:tcPr>
          <w:p>
            <w:pPr>
              <w:widowControl/>
              <w:spacing w:line="400" w:lineRule="exact"/>
              <w:jc w:val="center"/>
              <w:rPr>
                <w:rFonts w:hint="eastAsia" w:ascii="仿宋_GB2312" w:hAnsi="仿宋_GB2312" w:cs="仿宋_GB2312"/>
                <w:color w:val="auto"/>
                <w:kern w:val="0"/>
                <w:sz w:val="24"/>
                <w:highlight w:val="none"/>
              </w:rPr>
            </w:pPr>
          </w:p>
        </w:tc>
        <w:tc>
          <w:tcPr>
            <w:tcW w:w="1478" w:type="dxa"/>
            <w:vMerge w:val="continue"/>
            <w:vAlign w:val="center"/>
          </w:tcPr>
          <w:p>
            <w:pPr>
              <w:widowControl/>
              <w:spacing w:line="400" w:lineRule="exact"/>
              <w:jc w:val="center"/>
              <w:rPr>
                <w:rFonts w:hint="eastAsia" w:ascii="仿宋_GB2312" w:hAnsi="仿宋_GB2312" w:cs="仿宋_GB2312"/>
                <w:color w:val="auto"/>
                <w:kern w:val="0"/>
                <w:sz w:val="24"/>
                <w:highlight w:val="none"/>
              </w:rPr>
            </w:pPr>
          </w:p>
        </w:tc>
        <w:tc>
          <w:tcPr>
            <w:tcW w:w="1875" w:type="dxa"/>
            <w:tcBorders>
              <w:right w:val="single" w:color="auto" w:sz="4" w:space="0"/>
            </w:tcBorders>
            <w:vAlign w:val="center"/>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满意度</w:t>
            </w:r>
          </w:p>
        </w:tc>
        <w:tc>
          <w:tcPr>
            <w:tcW w:w="3885" w:type="dxa"/>
            <w:tcBorders>
              <w:right w:val="single" w:color="auto" w:sz="4" w:space="0"/>
            </w:tcBorders>
            <w:vAlign w:val="top"/>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社会公众或服务对象对项目实施效果的满意程度。</w:t>
            </w:r>
          </w:p>
        </w:tc>
        <w:tc>
          <w:tcPr>
            <w:tcW w:w="990" w:type="dxa"/>
            <w:tcBorders>
              <w:left w:val="single" w:color="auto" w:sz="4" w:space="0"/>
            </w:tcBorders>
            <w:vAlign w:val="center"/>
          </w:tcPr>
          <w:p>
            <w:pPr>
              <w:spacing w:line="400" w:lineRule="exact"/>
              <w:jc w:val="center"/>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10</w:t>
            </w:r>
          </w:p>
        </w:tc>
        <w:tc>
          <w:tcPr>
            <w:tcW w:w="874" w:type="dxa"/>
            <w:vAlign w:val="center"/>
          </w:tcPr>
          <w:p>
            <w:pPr>
              <w:spacing w:line="400" w:lineRule="exact"/>
              <w:jc w:val="center"/>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10</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502" w:hRule="atLeast"/>
          <w:jc w:val="center"/>
        </w:trPr>
        <w:tc>
          <w:tcPr>
            <w:tcW w:w="4110" w:type="dxa"/>
            <w:gridSpan w:val="3"/>
            <w:tcBorders>
              <w:right w:val="single" w:color="auto" w:sz="4" w:space="0"/>
            </w:tcBorders>
            <w:vAlign w:val="center"/>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b/>
                <w:bCs/>
                <w:color w:val="auto"/>
                <w:kern w:val="0"/>
                <w:sz w:val="24"/>
                <w:highlight w:val="none"/>
              </w:rPr>
              <w:t>总分</w:t>
            </w:r>
          </w:p>
        </w:tc>
        <w:tc>
          <w:tcPr>
            <w:tcW w:w="3885" w:type="dxa"/>
            <w:tcBorders>
              <w:right w:val="single" w:color="auto" w:sz="4" w:space="0"/>
            </w:tcBorders>
            <w:vAlign w:val="top"/>
          </w:tcPr>
          <w:p>
            <w:pPr>
              <w:widowControl/>
              <w:spacing w:line="400" w:lineRule="exact"/>
              <w:jc w:val="center"/>
              <w:rPr>
                <w:rFonts w:hint="eastAsia" w:ascii="仿宋_GB2312" w:hAnsi="仿宋_GB2312" w:cs="仿宋_GB2312"/>
                <w:color w:val="auto"/>
                <w:kern w:val="0"/>
                <w:sz w:val="24"/>
                <w:highlight w:val="none"/>
              </w:rPr>
            </w:pPr>
          </w:p>
        </w:tc>
        <w:tc>
          <w:tcPr>
            <w:tcW w:w="990" w:type="dxa"/>
            <w:tcBorders>
              <w:left w:val="single" w:color="auto" w:sz="4" w:space="0"/>
            </w:tcBorders>
            <w:vAlign w:val="center"/>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100</w:t>
            </w:r>
          </w:p>
        </w:tc>
        <w:tc>
          <w:tcPr>
            <w:tcW w:w="874" w:type="dxa"/>
            <w:vAlign w:val="center"/>
          </w:tcPr>
          <w:p>
            <w:pPr>
              <w:widowControl/>
              <w:spacing w:line="400" w:lineRule="exact"/>
              <w:jc w:val="center"/>
              <w:rPr>
                <w:rFonts w:hint="eastAsia" w:ascii="仿宋_GB2312" w:hAnsi="仿宋_GB2312" w:eastAsia="仿宋_GB2312" w:cs="仿宋_GB2312"/>
                <w:color w:val="auto"/>
                <w:kern w:val="0"/>
                <w:sz w:val="24"/>
                <w:highlight w:val="none"/>
                <w:lang w:eastAsia="zh-CN"/>
              </w:rPr>
            </w:pPr>
            <w:r>
              <w:rPr>
                <w:rFonts w:hint="eastAsia" w:ascii="仿宋_GB2312" w:hAnsi="仿宋_GB2312" w:cs="仿宋_GB2312"/>
                <w:color w:val="auto"/>
                <w:kern w:val="0"/>
                <w:sz w:val="24"/>
                <w:highlight w:val="none"/>
                <w:lang w:eastAsia="zh-CN"/>
              </w:rPr>
              <w:t>99.38</w:t>
            </w:r>
          </w:p>
        </w:tc>
      </w:tr>
    </w:tbl>
    <w:p>
      <w:pPr>
        <w:spacing w:line="560" w:lineRule="exact"/>
        <w:rPr>
          <w:rFonts w:hint="eastAsia" w:ascii="仿宋_GB2312" w:hAnsi="仿宋_GB2312" w:cs="仿宋_GB2312"/>
          <w:color w:val="auto"/>
          <w:highlight w:val="none"/>
        </w:rPr>
      </w:pPr>
    </w:p>
    <w:sectPr>
      <w:pgSz w:w="11906" w:h="16838"/>
      <w:pgMar w:top="1928" w:right="1531" w:bottom="1701" w:left="1531" w:header="737" w:footer="851" w:gutter="0"/>
      <w:cols w:space="720" w:num="1"/>
      <w:docGrid w:type="lines" w:linePitch="40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_GBK">
    <w:panose1 w:val="03000509000000000000"/>
    <w:charset w:val="86"/>
    <w:family w:val="script"/>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8CCEF49"/>
    <w:multiLevelType w:val="multilevel"/>
    <w:tmpl w:val="68CCEF49"/>
    <w:lvl w:ilvl="0" w:tentative="0">
      <w:start w:val="1"/>
      <w:numFmt w:val="chineseCountingThousand"/>
      <w:pStyle w:val="30"/>
      <w:lvlText w:val="(%1)"/>
      <w:lvlJc w:val="left"/>
      <w:pPr>
        <w:ind w:left="988"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68CCEF54"/>
    <w:multiLevelType w:val="singleLevel"/>
    <w:tmpl w:val="68CCEF54"/>
    <w:lvl w:ilvl="0" w:tentative="0">
      <w:start w:val="3"/>
      <w:numFmt w:val="decimal"/>
      <w:suff w:val="nothing"/>
      <w:lvlText w:val="%1．"/>
      <w:lvlJc w:val="left"/>
      <w:rPr>
        <w:rFonts w:hint="default"/>
        <w:b/>
        <w:bCs/>
        <w:color w:val="auto"/>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oNotDisplayPageBoundaries w:val="1"/>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
  <w:docVars>
    <w:docVar w:name="commondata" w:val="eyJoZGlkIjoiNGZlMjdkODEyNTc2ZDAwN2RkM2JkNjRmYzZhOGM2MzQifQ=="/>
  </w:docVars>
  <w:rsids>
    <w:rsidRoot w:val="00000000"/>
    <w:rsid w:val="406E32F8"/>
    <w:rsid w:val="5B1C4924"/>
  </w:rsids>
  <m:mathPr>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99" w:semiHidden="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iPriority="99"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iPriority="99"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3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0"/>
      <w:szCs w:val="24"/>
      <w:lang w:val="en-US" w:eastAsia="zh-CN" w:bidi="ar-SA"/>
    </w:rPr>
  </w:style>
  <w:style w:type="paragraph" w:styleId="3">
    <w:name w:val="heading 1"/>
    <w:basedOn w:val="1"/>
    <w:next w:val="1"/>
    <w:link w:val="17"/>
    <w:qFormat/>
    <w:uiPriority w:val="0"/>
    <w:pPr>
      <w:keepNext/>
      <w:keepLines/>
      <w:spacing w:before="340" w:after="330" w:line="578" w:lineRule="auto"/>
      <w:outlineLvl w:val="0"/>
    </w:pPr>
    <w:rPr>
      <w:b/>
      <w:bCs/>
      <w:kern w:val="44"/>
      <w:sz w:val="44"/>
      <w:szCs w:val="44"/>
    </w:rPr>
  </w:style>
  <w:style w:type="paragraph" w:styleId="4">
    <w:name w:val="heading 2"/>
    <w:basedOn w:val="1"/>
    <w:next w:val="1"/>
    <w:link w:val="18"/>
    <w:unhideWhenUsed/>
    <w:qFormat/>
    <w:uiPriority w:val="0"/>
    <w:pPr>
      <w:keepNext/>
      <w:keepLines/>
      <w:spacing w:before="260" w:after="260" w:line="416" w:lineRule="auto"/>
      <w:outlineLvl w:val="1"/>
    </w:pPr>
    <w:rPr>
      <w:rFonts w:ascii="Cambria" w:hAnsi="Cambria" w:eastAsia="宋体" w:cs="Times New Roman"/>
      <w:b/>
      <w:bCs/>
      <w:sz w:val="32"/>
      <w:szCs w:val="32"/>
    </w:rPr>
  </w:style>
  <w:style w:type="paragraph" w:styleId="2">
    <w:name w:val="heading 3"/>
    <w:basedOn w:val="1"/>
    <w:next w:val="1"/>
    <w:qFormat/>
    <w:uiPriority w:val="99"/>
    <w:pPr>
      <w:keepNext/>
      <w:keepLines/>
      <w:ind w:firstLine="883"/>
      <w:outlineLvl w:val="2"/>
    </w:pPr>
    <w:rPr>
      <w:b/>
      <w:bCs/>
      <w:kern w:val="0"/>
      <w:szCs w:val="32"/>
    </w:rPr>
  </w:style>
  <w:style w:type="paragraph" w:styleId="5">
    <w:name w:val="heading 4"/>
    <w:basedOn w:val="1"/>
    <w:next w:val="1"/>
    <w:unhideWhenUsed/>
    <w:qFormat/>
    <w:uiPriority w:val="0"/>
    <w:pPr>
      <w:spacing w:before="100" w:beforeAutospacing="1" w:after="100" w:afterAutospacing="1"/>
      <w:jc w:val="left"/>
      <w:outlineLvl w:val="3"/>
    </w:pPr>
    <w:rPr>
      <w:rFonts w:hint="eastAsia" w:ascii="宋体" w:hAnsi="宋体" w:eastAsia="宋体" w:cs="宋体"/>
      <w:b/>
      <w:bCs/>
      <w:kern w:val="0"/>
      <w:sz w:val="24"/>
      <w:szCs w:val="24"/>
      <w:lang w:val="en-US" w:eastAsia="zh-CN"/>
    </w:rPr>
  </w:style>
  <w:style w:type="character" w:default="1" w:styleId="10">
    <w:name w:val="Default Paragraph Font"/>
    <w:semiHidden/>
    <w:uiPriority w:val="0"/>
  </w:style>
  <w:style w:type="table" w:default="1" w:styleId="12">
    <w:name w:val="Normal Table"/>
    <w:semiHidden/>
    <w:uiPriority w:val="0"/>
    <w:tblPr>
      <w:tblLayout w:type="fixed"/>
      <w:tblCellMar>
        <w:top w:w="0" w:type="dxa"/>
        <w:left w:w="108" w:type="dxa"/>
        <w:bottom w:w="0" w:type="dxa"/>
        <w:right w:w="108" w:type="dxa"/>
      </w:tblCellMar>
    </w:tblPr>
  </w:style>
  <w:style w:type="paragraph" w:styleId="6">
    <w:name w:val="Body Text"/>
    <w:basedOn w:val="1"/>
    <w:qFormat/>
    <w:uiPriority w:val="0"/>
  </w:style>
  <w:style w:type="paragraph" w:styleId="7">
    <w:name w:val="Balloon Text"/>
    <w:basedOn w:val="1"/>
    <w:link w:val="20"/>
    <w:uiPriority w:val="0"/>
    <w:rPr>
      <w:sz w:val="18"/>
      <w:szCs w:val="18"/>
    </w:rPr>
  </w:style>
  <w:style w:type="paragraph" w:styleId="8">
    <w:name w:val="footer"/>
    <w:basedOn w:val="1"/>
    <w:link w:val="21"/>
    <w:uiPriority w:val="0"/>
    <w:pPr>
      <w:tabs>
        <w:tab w:val="center" w:pos="4153"/>
        <w:tab w:val="right" w:pos="8306"/>
      </w:tabs>
      <w:snapToGrid w:val="0"/>
      <w:jc w:val="left"/>
    </w:pPr>
    <w:rPr>
      <w:sz w:val="18"/>
      <w:szCs w:val="18"/>
    </w:rPr>
  </w:style>
  <w:style w:type="paragraph" w:styleId="9">
    <w:name w:val="header"/>
    <w:basedOn w:val="1"/>
    <w:link w:val="22"/>
    <w:uiPriority w:val="0"/>
    <w:pPr>
      <w:pBdr>
        <w:bottom w:val="single" w:color="auto" w:sz="6" w:space="1"/>
      </w:pBdr>
      <w:tabs>
        <w:tab w:val="center" w:pos="4153"/>
        <w:tab w:val="right" w:pos="8306"/>
      </w:tabs>
      <w:snapToGrid w:val="0"/>
      <w:jc w:val="center"/>
    </w:pPr>
    <w:rPr>
      <w:sz w:val="18"/>
      <w:szCs w:val="18"/>
    </w:rPr>
  </w:style>
  <w:style w:type="character" w:styleId="11">
    <w:name w:val="Strong"/>
    <w:qFormat/>
    <w:uiPriority w:val="0"/>
    <w:rPr>
      <w:b/>
      <w:bCs/>
    </w:rPr>
  </w:style>
  <w:style w:type="table" w:styleId="13">
    <w:name w:val="Table Grid"/>
    <w:basedOn w:val="12"/>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14">
    <w:name w:val="Comment Text"/>
    <w:basedOn w:val="1"/>
    <w:link w:val="19"/>
    <w:uiPriority w:val="0"/>
    <w:pPr>
      <w:jc w:val="left"/>
    </w:pPr>
  </w:style>
  <w:style w:type="paragraph" w:customStyle="1" w:styleId="15">
    <w:name w:val="Comment Subject"/>
    <w:basedOn w:val="14"/>
    <w:next w:val="14"/>
    <w:link w:val="23"/>
    <w:uiPriority w:val="0"/>
    <w:rPr>
      <w:b/>
      <w:bCs/>
    </w:rPr>
  </w:style>
  <w:style w:type="character" w:customStyle="1" w:styleId="16">
    <w:name w:val="Comment Reference"/>
    <w:uiPriority w:val="0"/>
    <w:rPr>
      <w:sz w:val="21"/>
      <w:szCs w:val="21"/>
    </w:rPr>
  </w:style>
  <w:style w:type="character" w:customStyle="1" w:styleId="17">
    <w:name w:val="标题 1 Char"/>
    <w:basedOn w:val="10"/>
    <w:link w:val="3"/>
    <w:uiPriority w:val="0"/>
    <w:rPr>
      <w:rFonts w:eastAsia="仿宋_GB2312"/>
      <w:b/>
      <w:bCs/>
      <w:kern w:val="44"/>
      <w:sz w:val="44"/>
      <w:szCs w:val="44"/>
    </w:rPr>
  </w:style>
  <w:style w:type="character" w:customStyle="1" w:styleId="18">
    <w:name w:val="标题 2 Char"/>
    <w:basedOn w:val="10"/>
    <w:link w:val="4"/>
    <w:semiHidden/>
    <w:uiPriority w:val="0"/>
    <w:rPr>
      <w:rFonts w:ascii="Cambria" w:hAnsi="Cambria" w:eastAsia="宋体" w:cs="Times New Roman"/>
      <w:b/>
      <w:bCs/>
      <w:kern w:val="2"/>
      <w:sz w:val="32"/>
      <w:szCs w:val="32"/>
    </w:rPr>
  </w:style>
  <w:style w:type="character" w:customStyle="1" w:styleId="19">
    <w:name w:val="批注文字 字符"/>
    <w:link w:val="14"/>
    <w:uiPriority w:val="0"/>
    <w:rPr>
      <w:rFonts w:eastAsia="仿宋_GB2312"/>
      <w:kern w:val="2"/>
      <w:sz w:val="30"/>
      <w:szCs w:val="24"/>
    </w:rPr>
  </w:style>
  <w:style w:type="character" w:customStyle="1" w:styleId="20">
    <w:name w:val="批注框文本 字符"/>
    <w:link w:val="7"/>
    <w:uiPriority w:val="0"/>
    <w:rPr>
      <w:rFonts w:eastAsia="仿宋_GB2312"/>
      <w:kern w:val="2"/>
      <w:sz w:val="18"/>
      <w:szCs w:val="18"/>
    </w:rPr>
  </w:style>
  <w:style w:type="character" w:customStyle="1" w:styleId="21">
    <w:name w:val="页脚 字符"/>
    <w:link w:val="8"/>
    <w:uiPriority w:val="0"/>
    <w:rPr>
      <w:rFonts w:eastAsia="仿宋_GB2312"/>
      <w:kern w:val="2"/>
      <w:sz w:val="18"/>
      <w:szCs w:val="18"/>
    </w:rPr>
  </w:style>
  <w:style w:type="character" w:customStyle="1" w:styleId="22">
    <w:name w:val="页眉 字符"/>
    <w:link w:val="9"/>
    <w:uiPriority w:val="0"/>
    <w:rPr>
      <w:rFonts w:eastAsia="仿宋_GB2312"/>
      <w:kern w:val="2"/>
      <w:sz w:val="18"/>
      <w:szCs w:val="18"/>
    </w:rPr>
  </w:style>
  <w:style w:type="character" w:customStyle="1" w:styleId="23">
    <w:name w:val="批注主题 字符"/>
    <w:link w:val="15"/>
    <w:uiPriority w:val="0"/>
    <w:rPr>
      <w:rFonts w:eastAsia="仿宋_GB2312"/>
      <w:b/>
      <w:bCs/>
      <w:kern w:val="2"/>
      <w:sz w:val="30"/>
      <w:szCs w:val="24"/>
    </w:rPr>
  </w:style>
  <w:style w:type="character" w:customStyle="1" w:styleId="24">
    <w:name w:val="闻政正文 Char"/>
    <w:link w:val="25"/>
    <w:qFormat/>
    <w:uiPriority w:val="0"/>
    <w:rPr>
      <w:rFonts w:eastAsia="仿宋_GB2312"/>
      <w:sz w:val="28"/>
      <w:szCs w:val="28"/>
    </w:rPr>
  </w:style>
  <w:style w:type="paragraph" w:customStyle="1" w:styleId="25">
    <w:name w:val="闻政正文"/>
    <w:basedOn w:val="1"/>
    <w:link w:val="24"/>
    <w:qFormat/>
    <w:uiPriority w:val="0"/>
    <w:pPr>
      <w:spacing w:line="500" w:lineRule="exact"/>
      <w:ind w:firstLine="560" w:firstLineChars="200"/>
    </w:pPr>
    <w:rPr>
      <w:kern w:val="0"/>
      <w:sz w:val="28"/>
      <w:szCs w:val="28"/>
    </w:rPr>
  </w:style>
  <w:style w:type="character" w:customStyle="1" w:styleId="26">
    <w:name w:val="闻政-正文三级标题 Char"/>
    <w:link w:val="27"/>
    <w:uiPriority w:val="3"/>
    <w:rPr>
      <w:rFonts w:eastAsia="仿宋_GB2312"/>
      <w:b/>
      <w:snapToGrid w:val="0"/>
      <w:sz w:val="28"/>
      <w:szCs w:val="28"/>
    </w:rPr>
  </w:style>
  <w:style w:type="paragraph" w:customStyle="1" w:styleId="27">
    <w:name w:val="闻政-正文三级标题"/>
    <w:basedOn w:val="1"/>
    <w:next w:val="1"/>
    <w:link w:val="26"/>
    <w:qFormat/>
    <w:uiPriority w:val="3"/>
    <w:pPr>
      <w:widowControl/>
      <w:spacing w:before="120" w:after="60" w:line="500" w:lineRule="exact"/>
      <w:ind w:left="200" w:leftChars="200"/>
    </w:pPr>
    <w:rPr>
      <w:b/>
      <w:snapToGrid w:val="0"/>
      <w:kern w:val="0"/>
      <w:sz w:val="28"/>
      <w:szCs w:val="28"/>
    </w:rPr>
  </w:style>
  <w:style w:type="character" w:customStyle="1" w:styleId="28">
    <w:name w:val="Body text|1_"/>
    <w:link w:val="29"/>
    <w:uiPriority w:val="0"/>
    <w:rPr>
      <w:rFonts w:ascii="宋体" w:hAnsi="宋体" w:cs="宋体"/>
      <w:kern w:val="2"/>
      <w:sz w:val="30"/>
      <w:szCs w:val="30"/>
      <w:lang w:val="zh-TW" w:eastAsia="zh-TW" w:bidi="zh-TW"/>
    </w:rPr>
  </w:style>
  <w:style w:type="paragraph" w:customStyle="1" w:styleId="29">
    <w:name w:val="Body text|1"/>
    <w:basedOn w:val="1"/>
    <w:link w:val="28"/>
    <w:qFormat/>
    <w:uiPriority w:val="0"/>
    <w:pPr>
      <w:spacing w:line="420" w:lineRule="auto"/>
      <w:ind w:firstLine="400"/>
    </w:pPr>
    <w:rPr>
      <w:rFonts w:ascii="宋体" w:hAnsi="宋体" w:eastAsia="宋体" w:cs="宋体"/>
      <w:szCs w:val="30"/>
      <w:lang w:val="zh-TW" w:eastAsia="zh-TW" w:bidi="zh-TW"/>
    </w:rPr>
  </w:style>
  <w:style w:type="paragraph" w:customStyle="1" w:styleId="30">
    <w:name w:val="标题2"/>
    <w:basedOn w:val="4"/>
    <w:qFormat/>
    <w:uiPriority w:val="0"/>
    <w:pPr>
      <w:numPr>
        <w:ilvl w:val="0"/>
        <w:numId w:val="1"/>
      </w:numPr>
      <w:spacing w:before="120" w:after="120" w:line="500" w:lineRule="exact"/>
    </w:pPr>
    <w:rPr>
      <w:rFonts w:ascii="仿宋_GB2312" w:eastAsia="仿宋_GB2312" w:cs="Times New Roman"/>
    </w:rPr>
  </w:style>
  <w:style w:type="paragraph" w:customStyle="1" w:styleId="31">
    <w:name w:val="标题1"/>
    <w:basedOn w:val="3"/>
    <w:next w:val="1"/>
    <w:qFormat/>
    <w:uiPriority w:val="0"/>
    <w:pPr>
      <w:spacing w:before="120" w:after="120" w:line="500" w:lineRule="exact"/>
      <w:ind w:firstLine="200" w:firstLineChars="200"/>
    </w:pPr>
    <w:rPr>
      <w:rFonts w:eastAsia="黑体"/>
      <w:sz w:val="32"/>
      <w:szCs w:val="32"/>
    </w:rPr>
  </w:style>
  <w:style w:type="paragraph" w:customStyle="1" w:styleId="32">
    <w:name w:val="Other|1"/>
    <w:basedOn w:val="1"/>
    <w:qFormat/>
    <w:uiPriority w:val="0"/>
    <w:pPr>
      <w:spacing w:line="420" w:lineRule="auto"/>
      <w:ind w:firstLine="400"/>
    </w:pPr>
    <w:rPr>
      <w:rFonts w:ascii="宋体" w:hAnsi="宋体" w:eastAsia="宋体" w:cs="宋体"/>
      <w:szCs w:val="30"/>
      <w:lang w:val="zh-TW" w:eastAsia="zh-TW" w:bidi="zh-TW"/>
    </w:rPr>
  </w:style>
  <w:style w:type="paragraph" w:customStyle="1" w:styleId="33">
    <w:name w:val="List Paragraph"/>
    <w:basedOn w:val="1"/>
    <w:qFormat/>
    <w:uiPriority w:val="34"/>
    <w:pPr>
      <w:ind w:firstLine="420" w:firstLineChars="200"/>
    </w:pPr>
    <w:rPr>
      <w:rFonts w:ascii="Calibri" w:hAnsi="Calibri" w:eastAsia="宋体" w:cs="Times New Roman"/>
      <w:sz w:val="21"/>
      <w:szCs w:val="21"/>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C042B0C0A04C44458A575B2FD899B5F1_13</vt:lpwstr>
  </property>
  <property fmtid="{D5CDD505-2E9C-101B-9397-08002B2CF9AE}" pid="4" name="KSOTemplateDocerSaveRecord">
    <vt:lpwstr>eyJoZGlkIjoiNDI0NDJkOGYwMTkzMjYxMzMxMmY2Njg1ZjNkYzk2MzkiLCJ1c2VySWQiOiIzMzAyMjM5MTcifQ==</vt:lpwstr>
  </property>
</Properties>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bdf173b-dbb1-482c-8946-e67ee1223b06}">
  <ds:schemaRefs/>
</ds:datastoreItem>
</file>

<file path=docProps/app.xml><?xml version="1.0" encoding="utf-8"?>
<Properties xmlns="http://schemas.openxmlformats.org/officeDocument/2006/extended-properties" xmlns:vt="http://schemas.openxmlformats.org/officeDocument/2006/docPropsVTypes">
  <Template>Normal</Template>
  <Company>P R C</Company>
  <Pages>21</Pages>
  <Words>8003</Words>
  <Characters>8357</Characters>
  <Lines>56</Lines>
  <Paragraphs>15</Paragraphs>
  <TotalTime>6</TotalTime>
  <ScaleCrop>false</ScaleCrop>
  <LinksUpToDate>false</LinksUpToDate>
  <CharactersWithSpaces>8359</CharactersWithSpaces>
  <Application>WPS Office_10.8.0.6423_F1E327BC-269C-435d-A152-05C5408002CA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2020-05-07T10:25:00Z</dcterms:created>
  <dc:creator>chenliangpingcz</dc:creator>
  <cp:lastModifiedBy>Administrator</cp:lastModifiedBy>
  <dcterms:modified xsi:type="dcterms:W3CDTF">2025-09-19T08:23:12Z</dcterms:modified>
  <cp:revision>62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2052-10.8.0.6423</vt:lpwstr>
  </property>
  <property fmtid="{D5CDD505-2E9C-101B-9397-08002B2CF9AE}" pid="3" name="ICV">
    <vt:lpwstr>C042B0C0A04C44458A575B2FD899B5F1_13</vt:lpwstr>
  </property>
  <property fmtid="{D5CDD505-2E9C-101B-9397-08002B2CF9AE}" pid="4" name="KSOTemplateDocerSaveRecord">
    <vt:lpwstr>eyJoZGlkIjoiNDI0NDJkOGYwMTkzMjYxMzMxMmY2Njg1ZjNkYzk2MzkiLCJ1c2VySWQiOiIzMzAyMjM5MTcifQ_x003D__x003D_</vt:lpwstr>
  </property>
</Properties>
</file>