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560" w:lineRule="exact"/>
        <w:jc w:val="center"/>
        <w:rPr>
          <w:rFonts w:hint="eastAsia" w:ascii="仿宋_GB2312" w:hAnsi="仿宋_GB2312" w:cs="仿宋_GB2312"/>
          <w:b/>
          <w:bCs/>
          <w:color w:val="auto"/>
          <w:kern w:val="0"/>
          <w:sz w:val="44"/>
          <w:szCs w:val="44"/>
          <w:highlight w:val="none"/>
        </w:rPr>
      </w:pPr>
    </w:p>
    <w:p>
      <w:pPr>
        <w:spacing w:line="560" w:lineRule="exact"/>
        <w:jc w:val="center"/>
        <w:rPr>
          <w:rFonts w:hint="eastAsia" w:ascii="仿宋_GB2312" w:hAnsi="仿宋_GB2312" w:cs="仿宋_GB2312"/>
          <w:b/>
          <w:bCs/>
          <w:color w:val="auto"/>
          <w:kern w:val="0"/>
          <w:sz w:val="44"/>
          <w:szCs w:val="44"/>
          <w:highlight w:val="none"/>
        </w:rPr>
      </w:pPr>
    </w:p>
    <w:p>
      <w:pPr>
        <w:spacing w:line="560" w:lineRule="exact"/>
        <w:jc w:val="center"/>
        <w:rPr>
          <w:rFonts w:hint="eastAsia" w:ascii="方正小标宋_GBK" w:hAnsi="黑体" w:eastAsia="方正小标宋_GBK" w:cs="仿宋_GB2312"/>
          <w:bCs/>
          <w:color w:val="auto"/>
          <w:kern w:val="0"/>
          <w:sz w:val="44"/>
          <w:szCs w:val="44"/>
          <w:highlight w:val="none"/>
        </w:rPr>
      </w:pPr>
      <w:r>
        <w:rPr>
          <w:rFonts w:hint="eastAsia" w:ascii="方正小标宋_GBK" w:hAnsi="黑体" w:eastAsia="方正小标宋_GBK" w:cs="仿宋_GB2312"/>
          <w:bCs/>
          <w:color w:val="auto"/>
          <w:kern w:val="0"/>
          <w:sz w:val="44"/>
          <w:szCs w:val="44"/>
          <w:highlight w:val="none"/>
        </w:rPr>
        <w:t>2024年城乡义务教育补助经费（学生营养改善计划项目）支出绩效评价报告</w:t>
      </w:r>
    </w:p>
    <w:p>
      <w:pPr>
        <w:spacing w:line="560" w:lineRule="exact"/>
        <w:jc w:val="center"/>
        <w:rPr>
          <w:rFonts w:hint="eastAsia" w:ascii="方正小标宋_GBK" w:hAnsi="黑体" w:eastAsia="方正小标宋_GBK" w:cs="仿宋_GB2312"/>
          <w:color w:val="auto"/>
          <w:kern w:val="0"/>
          <w:sz w:val="44"/>
          <w:szCs w:val="44"/>
          <w:highlight w:val="none"/>
        </w:rPr>
      </w:pPr>
    </w:p>
    <w:p>
      <w:pPr>
        <w:spacing w:line="560" w:lineRule="exact"/>
        <w:jc w:val="center"/>
        <w:rPr>
          <w:rFonts w:hint="eastAsia" w:ascii="方正小标宋_GBK" w:hAnsi="黑体" w:eastAsia="方正小标宋_GBK" w:cs="仿宋_GB2312"/>
          <w:bCs/>
          <w:color w:val="auto"/>
          <w:sz w:val="44"/>
          <w:szCs w:val="44"/>
          <w:highlight w:val="none"/>
        </w:rPr>
      </w:pPr>
      <w:r>
        <w:rPr>
          <w:rFonts w:hint="eastAsia" w:ascii="方正小标宋_GBK" w:hAnsi="黑体" w:eastAsia="方正小标宋_GBK" w:cs="仿宋_GB2312"/>
          <w:bCs/>
          <w:color w:val="auto"/>
          <w:sz w:val="44"/>
          <w:szCs w:val="44"/>
          <w:highlight w:val="none"/>
        </w:rPr>
        <w:t>（</w:t>
      </w:r>
      <w:r>
        <w:rPr>
          <w:rFonts w:hint="eastAsia" w:ascii="方正小标宋_GBK" w:hAnsi="黑体" w:eastAsia="方正小标宋_GBK" w:cs="仿宋_GB2312"/>
          <w:bCs/>
          <w:color w:val="auto"/>
          <w:sz w:val="44"/>
          <w:szCs w:val="44"/>
          <w:highlight w:val="none"/>
          <w:lang w:eastAsia="zh-CN"/>
        </w:rPr>
        <w:t>202</w:t>
      </w:r>
      <w:r>
        <w:rPr>
          <w:rFonts w:hint="eastAsia" w:ascii="方正小标宋_GBK" w:hAnsi="黑体" w:eastAsia="方正小标宋_GBK" w:cs="仿宋_GB2312"/>
          <w:bCs/>
          <w:color w:val="auto"/>
          <w:sz w:val="44"/>
          <w:szCs w:val="44"/>
          <w:highlight w:val="none"/>
          <w:lang w:val="en-US" w:eastAsia="zh-CN"/>
        </w:rPr>
        <w:t>4</w:t>
      </w:r>
      <w:r>
        <w:rPr>
          <w:rFonts w:hint="eastAsia" w:ascii="方正小标宋_GBK" w:hAnsi="黑体" w:eastAsia="方正小标宋_GBK" w:cs="仿宋_GB2312"/>
          <w:bCs/>
          <w:color w:val="auto"/>
          <w:sz w:val="44"/>
          <w:szCs w:val="44"/>
          <w:highlight w:val="none"/>
        </w:rPr>
        <w:t>年度）</w:t>
      </w: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rPr>
          <w:rFonts w:hint="eastAsia" w:ascii="黑体" w:hAnsi="黑体" w:eastAsia="黑体" w:cs="仿宋_GB2312"/>
          <w:color w:val="auto"/>
          <w:kern w:val="0"/>
          <w:sz w:val="32"/>
          <w:szCs w:val="32"/>
          <w:highlight w:val="none"/>
        </w:rPr>
      </w:pPr>
      <w:r>
        <w:rPr>
          <w:rFonts w:hint="eastAsia" w:ascii="黑体" w:hAnsi="黑体" w:eastAsia="黑体" w:cs="仿宋_GB2312"/>
          <w:color w:val="auto"/>
          <w:kern w:val="0"/>
          <w:sz w:val="32"/>
          <w:szCs w:val="32"/>
          <w:highlight w:val="none"/>
        </w:rPr>
        <w:t>项目名称：2024年城乡义务教育补助经费（学生营养改善计划项目）</w:t>
      </w:r>
    </w:p>
    <w:p>
      <w:pPr>
        <w:spacing w:line="560" w:lineRule="exact"/>
        <w:rPr>
          <w:rFonts w:hint="eastAsia" w:ascii="黑体" w:hAnsi="黑体" w:eastAsia="黑体" w:cs="仿宋_GB2312"/>
          <w:color w:val="auto"/>
          <w:kern w:val="0"/>
          <w:sz w:val="32"/>
          <w:szCs w:val="32"/>
          <w:highlight w:val="none"/>
        </w:rPr>
      </w:pPr>
    </w:p>
    <w:p>
      <w:pPr>
        <w:spacing w:line="560" w:lineRule="exact"/>
        <w:rPr>
          <w:rFonts w:hint="eastAsia" w:ascii="黑体" w:hAnsi="黑体" w:eastAsia="黑体" w:cs="仿宋_GB2312"/>
          <w:color w:val="auto"/>
          <w:kern w:val="0"/>
          <w:sz w:val="32"/>
          <w:szCs w:val="32"/>
          <w:highlight w:val="none"/>
        </w:rPr>
      </w:pPr>
      <w:r>
        <w:rPr>
          <w:rFonts w:hint="eastAsia" w:ascii="黑体" w:hAnsi="黑体" w:eastAsia="黑体" w:cs="仿宋_GB2312"/>
          <w:color w:val="auto"/>
          <w:kern w:val="0"/>
          <w:sz w:val="32"/>
          <w:szCs w:val="32"/>
          <w:highlight w:val="none"/>
        </w:rPr>
        <w:t>项目单位：阿图什市教育局</w:t>
      </w:r>
    </w:p>
    <w:p>
      <w:pPr>
        <w:spacing w:line="560" w:lineRule="exact"/>
        <w:rPr>
          <w:rFonts w:hint="eastAsia" w:ascii="黑体" w:hAnsi="黑体" w:eastAsia="黑体" w:cs="仿宋_GB2312"/>
          <w:color w:val="auto"/>
          <w:kern w:val="0"/>
          <w:sz w:val="32"/>
          <w:szCs w:val="32"/>
          <w:highlight w:val="none"/>
        </w:rPr>
      </w:pPr>
    </w:p>
    <w:p>
      <w:pPr>
        <w:spacing w:line="560" w:lineRule="exact"/>
        <w:rPr>
          <w:rFonts w:hint="eastAsia" w:ascii="黑体" w:hAnsi="黑体" w:eastAsia="黑体" w:cs="仿宋_GB2312"/>
          <w:color w:val="auto"/>
          <w:kern w:val="0"/>
          <w:sz w:val="32"/>
          <w:szCs w:val="32"/>
          <w:highlight w:val="none"/>
        </w:rPr>
      </w:pPr>
      <w:r>
        <w:rPr>
          <w:rFonts w:hint="eastAsia" w:ascii="黑体" w:hAnsi="黑体" w:eastAsia="黑体" w:cs="仿宋_GB2312"/>
          <w:color w:val="auto"/>
          <w:kern w:val="0"/>
          <w:sz w:val="32"/>
          <w:szCs w:val="32"/>
          <w:highlight w:val="none"/>
        </w:rPr>
        <w:t>主管部门：阿图什市教育局</w:t>
      </w:r>
    </w:p>
    <w:p>
      <w:pPr>
        <w:spacing w:line="560" w:lineRule="exact"/>
        <w:rPr>
          <w:rFonts w:hint="eastAsia" w:ascii="黑体" w:hAnsi="黑体" w:eastAsia="黑体" w:cs="仿宋_GB2312"/>
          <w:color w:val="auto"/>
          <w:kern w:val="0"/>
          <w:sz w:val="32"/>
          <w:szCs w:val="32"/>
          <w:highlight w:val="none"/>
        </w:rPr>
      </w:pPr>
    </w:p>
    <w:p>
      <w:pPr>
        <w:spacing w:line="560" w:lineRule="exact"/>
        <w:rPr>
          <w:rFonts w:hint="eastAsia" w:ascii="黑体" w:hAnsi="黑体" w:eastAsia="黑体" w:cs="仿宋_GB2312"/>
          <w:color w:val="auto"/>
          <w:kern w:val="0"/>
          <w:sz w:val="32"/>
          <w:szCs w:val="32"/>
          <w:highlight w:val="none"/>
        </w:rPr>
      </w:pPr>
    </w:p>
    <w:p>
      <w:pPr>
        <w:spacing w:line="560" w:lineRule="exact"/>
        <w:jc w:val="center"/>
        <w:rPr>
          <w:rFonts w:hint="eastAsia" w:ascii="黑体" w:hAnsi="黑体" w:eastAsia="黑体" w:cs="仿宋_GB2312"/>
          <w:color w:val="auto"/>
          <w:sz w:val="32"/>
          <w:szCs w:val="32"/>
          <w:highlight w:val="none"/>
        </w:rPr>
      </w:pPr>
      <w:r>
        <w:rPr>
          <w:rFonts w:hint="eastAsia" w:ascii="黑体" w:hAnsi="黑体" w:eastAsia="黑体" w:cs="仿宋_GB2312"/>
          <w:color w:val="auto"/>
          <w:sz w:val="32"/>
          <w:szCs w:val="32"/>
          <w:highlight w:val="none"/>
          <w:lang w:eastAsia="zh-CN"/>
        </w:rPr>
        <w:t>202</w:t>
      </w:r>
      <w:r>
        <w:rPr>
          <w:rFonts w:hint="eastAsia" w:ascii="黑体" w:hAnsi="黑体" w:eastAsia="黑体" w:cs="仿宋_GB2312"/>
          <w:color w:val="auto"/>
          <w:sz w:val="32"/>
          <w:szCs w:val="32"/>
          <w:highlight w:val="none"/>
          <w:lang w:val="en-US" w:eastAsia="zh-CN"/>
        </w:rPr>
        <w:t>5</w:t>
      </w:r>
      <w:r>
        <w:rPr>
          <w:rFonts w:hint="eastAsia" w:ascii="黑体" w:hAnsi="黑体" w:eastAsia="黑体" w:cs="仿宋_GB2312"/>
          <w:color w:val="auto"/>
          <w:sz w:val="32"/>
          <w:szCs w:val="32"/>
          <w:highlight w:val="none"/>
        </w:rPr>
        <w:t>年</w:t>
      </w:r>
      <w:r>
        <w:rPr>
          <w:rFonts w:hint="eastAsia" w:ascii="黑体" w:hAnsi="黑体" w:eastAsia="黑体" w:cs="仿宋_GB2312"/>
          <w:color w:val="auto"/>
          <w:sz w:val="32"/>
          <w:szCs w:val="32"/>
          <w:highlight w:val="none"/>
          <w:lang w:val="en-US" w:eastAsia="zh-CN"/>
        </w:rPr>
        <w:t>4</w:t>
      </w:r>
      <w:r>
        <w:rPr>
          <w:rFonts w:hint="eastAsia" w:ascii="黑体" w:hAnsi="黑体" w:eastAsia="黑体" w:cs="仿宋_GB2312"/>
          <w:color w:val="auto"/>
          <w:sz w:val="32"/>
          <w:szCs w:val="32"/>
          <w:highlight w:val="none"/>
        </w:rPr>
        <w:t>月</w:t>
      </w:r>
      <w:r>
        <w:rPr>
          <w:rFonts w:hint="eastAsia" w:ascii="黑体" w:hAnsi="黑体" w:eastAsia="黑体" w:cs="仿宋_GB2312"/>
          <w:color w:val="auto"/>
          <w:sz w:val="32"/>
          <w:szCs w:val="32"/>
          <w:highlight w:val="none"/>
          <w:lang w:val="en-US" w:eastAsia="zh-CN"/>
        </w:rPr>
        <w:t>23</w:t>
      </w:r>
      <w:r>
        <w:rPr>
          <w:rFonts w:hint="eastAsia" w:ascii="黑体" w:hAnsi="黑体" w:eastAsia="黑体" w:cs="仿宋_GB2312"/>
          <w:color w:val="auto"/>
          <w:sz w:val="32"/>
          <w:szCs w:val="32"/>
          <w:highlight w:val="none"/>
        </w:rPr>
        <w:t>日</w:t>
      </w:r>
    </w:p>
    <w:p>
      <w:pPr>
        <w:spacing w:line="560" w:lineRule="exact"/>
        <w:rPr>
          <w:rFonts w:hint="eastAsia" w:ascii="仿宋_GB2312" w:hAnsi="仿宋_GB2312" w:cs="仿宋_GB2312"/>
          <w:color w:val="auto"/>
          <w:szCs w:val="30"/>
          <w:highlight w:val="none"/>
        </w:rPr>
      </w:pPr>
    </w:p>
    <w:p>
      <w:pPr>
        <w:spacing w:line="560" w:lineRule="exact"/>
        <w:rPr>
          <w:rFonts w:hint="eastAsia" w:ascii="仿宋_GB2312" w:hAnsi="仿宋_GB2312" w:cs="仿宋_GB2312"/>
          <w:color w:val="auto"/>
          <w:szCs w:val="30"/>
          <w:highlight w:val="none"/>
        </w:rPr>
      </w:pPr>
    </w:p>
    <w:p>
      <w:pPr>
        <w:snapToGrid w:val="0"/>
        <w:spacing w:line="560" w:lineRule="exact"/>
        <w:jc w:val="center"/>
        <w:rPr>
          <w:rFonts w:hint="eastAsia" w:ascii="方正小标宋_GBK" w:hAnsi="仿宋_GB2312" w:eastAsia="方正小标宋_GBK" w:cs="仿宋_GB2312"/>
          <w:bCs/>
          <w:color w:val="auto"/>
          <w:sz w:val="44"/>
          <w:szCs w:val="44"/>
          <w:highlight w:val="none"/>
        </w:rPr>
      </w:pPr>
      <w:r>
        <w:rPr>
          <w:rFonts w:hint="eastAsia" w:ascii="方正小标宋_GBK" w:hAnsi="仿宋_GB2312" w:eastAsia="方正小标宋_GBK" w:cs="仿宋_GB2312"/>
          <w:bCs/>
          <w:color w:val="auto"/>
          <w:sz w:val="44"/>
          <w:szCs w:val="44"/>
          <w:highlight w:val="none"/>
        </w:rPr>
        <w:t>2024年城乡义务教育补助经费（学生营养改善计划项目）支出绩效评价报告</w:t>
      </w:r>
    </w:p>
    <w:p>
      <w:pPr>
        <w:snapToGrid w:val="0"/>
        <w:spacing w:line="560" w:lineRule="exact"/>
        <w:jc w:val="center"/>
        <w:rPr>
          <w:rFonts w:hint="eastAsia" w:ascii="仿宋_GB2312" w:hAnsi="仿宋_GB2312" w:cs="仿宋_GB2312"/>
          <w:color w:val="auto"/>
          <w:szCs w:val="30"/>
          <w:highlight w:val="none"/>
        </w:rPr>
      </w:pPr>
    </w:p>
    <w:p>
      <w:pPr>
        <w:snapToGrid w:val="0"/>
        <w:spacing w:line="560" w:lineRule="exact"/>
        <w:ind w:firstLine="640" w:firstLineChars="200"/>
        <w:rPr>
          <w:rFonts w:hint="eastAsia" w:ascii="黑体" w:hAnsi="黑体" w:eastAsia="黑体" w:cs="仿宋_GB2312"/>
          <w:bCs/>
          <w:color w:val="auto"/>
          <w:sz w:val="32"/>
          <w:szCs w:val="32"/>
          <w:highlight w:val="none"/>
        </w:rPr>
      </w:pPr>
      <w:r>
        <w:rPr>
          <w:rFonts w:hint="eastAsia" w:ascii="黑体" w:hAnsi="黑体" w:eastAsia="黑体" w:cs="仿宋_GB2312"/>
          <w:bCs/>
          <w:color w:val="auto"/>
          <w:sz w:val="32"/>
          <w:szCs w:val="32"/>
          <w:highlight w:val="none"/>
        </w:rPr>
        <w:t>一、基本情况</w:t>
      </w:r>
    </w:p>
    <w:p>
      <w:pPr>
        <w:snapToGrid w:val="0"/>
        <w:spacing w:line="560" w:lineRule="exact"/>
        <w:ind w:firstLine="643" w:firstLineChars="200"/>
        <w:outlineLvl w:val="0"/>
        <w:rPr>
          <w:rFonts w:hint="eastAsia" w:ascii="楷体" w:hAnsi="楷体" w:eastAsia="楷体" w:cs="仿宋_GB2312"/>
          <w:b/>
          <w:bCs w:val="0"/>
          <w:color w:val="auto"/>
          <w:sz w:val="32"/>
          <w:szCs w:val="32"/>
          <w:highlight w:val="none"/>
        </w:rPr>
      </w:pPr>
      <w:r>
        <w:rPr>
          <w:rFonts w:hint="eastAsia" w:ascii="楷体" w:hAnsi="楷体" w:eastAsia="楷体" w:cs="仿宋_GB2312"/>
          <w:b/>
          <w:bCs w:val="0"/>
          <w:color w:val="auto"/>
          <w:sz w:val="32"/>
          <w:szCs w:val="32"/>
          <w:highlight w:val="none"/>
        </w:rPr>
        <w:t>（一）项目概况</w:t>
      </w:r>
    </w:p>
    <w:p>
      <w:pPr>
        <w:snapToGrid w:val="0"/>
        <w:spacing w:line="560" w:lineRule="exact"/>
        <w:ind w:firstLine="803" w:firstLineChars="250"/>
        <w:outlineLvl w:val="0"/>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1．项目背景</w:t>
      </w:r>
    </w:p>
    <w:p>
      <w:pPr>
        <w:snapToGrid w:val="0"/>
        <w:spacing w:line="560" w:lineRule="exact"/>
        <w:ind w:firstLine="800" w:firstLineChars="250"/>
        <w:outlineLvl w:val="0"/>
        <w:rPr>
          <w:rFonts w:hint="eastAsia" w:ascii="仿宋_GB2312" w:hAnsi="仿宋" w:cs="宋体"/>
          <w:color w:val="auto"/>
          <w:sz w:val="32"/>
          <w:szCs w:val="32"/>
          <w:highlight w:val="none"/>
        </w:rPr>
      </w:pPr>
      <w:r>
        <w:rPr>
          <w:rFonts w:hint="eastAsia" w:ascii="仿宋_GB2312" w:hAnsi="仿宋" w:cs="宋体"/>
          <w:color w:val="auto"/>
          <w:sz w:val="32"/>
          <w:szCs w:val="32"/>
          <w:highlight w:val="none"/>
        </w:rPr>
        <w:t>2011年开始国家启动实施农村义务教育学生营养改善计划，要求在集中连片特殊困难地区和实施特殊政策的地区开展，南疆四地州被纳入其中，阿图什市积极响应国家政策，自2012年起实施该计划。2024年继续推进该项目，是对国家长期以来重视农村义务教育学生营养健康政策的持续落实。部分农村和贫困地区学生因家庭经济条件限制，饮食结构单一，营养摄入不足，影响身体发育和学习效率。2025年春季学期起，营养餐膳食补助标准提高至每生每天7元，旨在进一步优化学生的膳食结构，确保学生摄入更充足的营养。</w:t>
      </w:r>
    </w:p>
    <w:p>
      <w:pPr>
        <w:snapToGrid w:val="0"/>
        <w:spacing w:line="560" w:lineRule="exact"/>
        <w:ind w:firstLine="800" w:firstLineChars="250"/>
        <w:outlineLvl w:val="0"/>
        <w:rPr>
          <w:rFonts w:hint="eastAsia" w:ascii="仿宋_GB2312" w:hAnsi="仿宋_GB2312" w:cs="仿宋_GB2312"/>
          <w:color w:val="auto"/>
          <w:sz w:val="32"/>
          <w:szCs w:val="32"/>
          <w:highlight w:val="none"/>
        </w:rPr>
      </w:pPr>
      <w:r>
        <w:rPr>
          <w:rFonts w:hint="eastAsia" w:ascii="仿宋_GB2312" w:hAnsi="仿宋" w:cs="宋体"/>
          <w:color w:val="auto"/>
          <w:sz w:val="32"/>
          <w:szCs w:val="32"/>
          <w:highlight w:val="none"/>
        </w:rPr>
        <w:t>教育公平是社会公平的重要基础，实施学生营养改善计划，能缩小城乡学生在营养健康方面的差距，让农村学生</w:t>
      </w:r>
      <w:r>
        <w:rPr>
          <w:rFonts w:hint="eastAsia" w:ascii="仿宋_GB2312" w:hAnsi="仿宋" w:cs="宋体"/>
          <w:color w:val="auto"/>
          <w:sz w:val="32"/>
          <w:szCs w:val="32"/>
          <w:highlight w:val="none"/>
          <w:lang w:eastAsia="zh-CN"/>
        </w:rPr>
        <w:t>和</w:t>
      </w:r>
      <w:r>
        <w:rPr>
          <w:rFonts w:hint="eastAsia" w:ascii="仿宋_GB2312" w:hAnsi="仿宋" w:cs="宋体"/>
          <w:color w:val="auto"/>
          <w:sz w:val="32"/>
          <w:szCs w:val="32"/>
          <w:highlight w:val="none"/>
        </w:rPr>
        <w:t>城市学生一样，在健康的身体基础上接受教育，促进教育公平的实现。学生的健康状况是教育事业发展的重要基础。阿图什市实施学生营养改善计划，有助于提高学生的身体素质和学习积极性，提升义务教育的巩固率和教育教学质量，为当地教育事业的长远发展奠定坚实基础。</w:t>
      </w:r>
    </w:p>
    <w:p>
      <w:pPr>
        <w:snapToGrid w:val="0"/>
        <w:spacing w:line="560" w:lineRule="exact"/>
        <w:ind w:firstLine="803" w:firstLineChars="250"/>
        <w:outlineLvl w:val="0"/>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2．主要内容及实施情况</w:t>
      </w:r>
    </w:p>
    <w:p>
      <w:pPr>
        <w:snapToGrid w:val="0"/>
        <w:spacing w:line="560" w:lineRule="exact"/>
        <w:ind w:firstLine="800" w:firstLineChars="250"/>
        <w:outlineLvl w:val="0"/>
        <w:rPr>
          <w:rFonts w:hint="eastAsia" w:ascii="仿宋_GB2312" w:hAnsi="仿宋_GB2312" w:cs="仿宋_GB2312"/>
          <w:color w:val="auto"/>
          <w:sz w:val="32"/>
          <w:szCs w:val="30"/>
          <w:highlight w:val="none"/>
        </w:rPr>
      </w:pPr>
      <w:r>
        <w:rPr>
          <w:rFonts w:hint="eastAsia" w:ascii="仿宋_GB2312" w:hAnsi="仿宋_GB2312" w:cs="仿宋_GB2312"/>
          <w:color w:val="auto"/>
          <w:sz w:val="32"/>
          <w:szCs w:val="30"/>
          <w:highlight w:val="none"/>
        </w:rPr>
        <w:t>（1）主要内容</w:t>
      </w:r>
    </w:p>
    <w:p>
      <w:pPr>
        <w:snapToGrid w:val="0"/>
        <w:spacing w:line="560" w:lineRule="exact"/>
        <w:ind w:firstLine="800" w:firstLineChars="250"/>
        <w:outlineLvl w:val="0"/>
        <w:rPr>
          <w:rFonts w:ascii="仿宋_GB2312" w:hAnsi="仿宋_GB2312" w:cs="仿宋_GB2312"/>
          <w:color w:val="auto"/>
          <w:sz w:val="32"/>
          <w:szCs w:val="30"/>
          <w:highlight w:val="none"/>
        </w:rPr>
      </w:pPr>
      <w:r>
        <w:rPr>
          <w:rFonts w:hint="eastAsia" w:ascii="仿宋_GB2312" w:hAnsi="仿宋_GB2312" w:cs="仿宋_GB2312"/>
          <w:color w:val="auto"/>
          <w:sz w:val="32"/>
          <w:szCs w:val="30"/>
          <w:highlight w:val="none"/>
        </w:rPr>
        <w:t>项目实施内容：</w:t>
      </w:r>
    </w:p>
    <w:p>
      <w:pPr>
        <w:snapToGrid w:val="0"/>
        <w:spacing w:line="560" w:lineRule="exact"/>
        <w:ind w:firstLine="800" w:firstLineChars="250"/>
        <w:outlineLvl w:val="0"/>
        <w:rPr>
          <w:rFonts w:hint="eastAsia" w:ascii="仿宋_GB2312" w:hAnsi="仿宋_GB2312" w:cs="仿宋_GB2312"/>
          <w:color w:val="auto"/>
          <w:sz w:val="32"/>
          <w:szCs w:val="30"/>
          <w:highlight w:val="none"/>
        </w:rPr>
      </w:pPr>
      <w:r>
        <w:rPr>
          <w:rFonts w:hint="eastAsia" w:ascii="仿宋_GB2312" w:hAnsi="仿宋_GB2312" w:cs="仿宋_GB2312"/>
          <w:color w:val="auto"/>
          <w:sz w:val="32"/>
          <w:szCs w:val="30"/>
          <w:highlight w:val="none"/>
        </w:rPr>
        <w:t>根据《关于提前下达2024年城乡义务教育补助经费预算（中央直达资金）的通知》克财教【2023】52号、《关于下达2024年城乡义务教育补助经费预算第二批（中央直达资金）的通知》克财教【2024】17号文件，下达资金3992.14万元，主要用于落实农村义务教育学生营养改善计划，分配17个预算单位（72所农村中小学），享受营养膳食学生人数41288名；通过实施本项目，助力保障受补助学生基本生活，减轻农村学生家庭负担，提高农村学生健康水平。</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（2）实施情况：</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实施主体：本项目的主管部门为阿图什市教育局,实施单位为阿图什市教育局，主要职责</w:t>
      </w:r>
      <w:r>
        <w:rPr>
          <w:rFonts w:hint="eastAsia" w:ascii="仿宋_GB2312" w:hAnsi="仿宋_GB2312" w:cs="仿宋_GB2312"/>
          <w:bCs/>
          <w:color w:val="auto"/>
          <w:sz w:val="32"/>
          <w:szCs w:val="30"/>
          <w:highlight w:val="none"/>
          <w:lang w:eastAsia="zh-CN"/>
        </w:rPr>
        <w:t>：</w:t>
      </w:r>
      <w:r>
        <w:rPr>
          <w:rFonts w:hint="eastAsia" w:ascii="仿宋_GB2312" w:hAnsi="仿宋_GB2312" w:cs="仿宋_GB2312"/>
          <w:bCs/>
          <w:color w:val="auto"/>
          <w:sz w:val="32"/>
          <w:szCs w:val="30"/>
          <w:highlight w:val="none"/>
        </w:rPr>
        <w:t>正确贯彻执行党和国家的教育方针、政策、法规。维护学校的教学秩序，为学生创造良好的学习环境，积极稳妥地推进教育改革，按教育规律办事，不断提高教育质量。根据学校规模，设置学校管理机构，建立健全各项规章制度和岗位责任制，坚持教书育人，服务育人，环境育人方针，加强对学生思想品德教育，使学生的德智体全。</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实施时间：</w:t>
      </w:r>
      <w:r>
        <w:rPr>
          <w:rFonts w:hint="eastAsia" w:ascii="仿宋_GB2312" w:hAnsi="仿宋_GB2312" w:cs="仿宋_GB2312"/>
          <w:bCs/>
          <w:color w:val="auto"/>
          <w:sz w:val="32"/>
          <w:szCs w:val="30"/>
          <w:highlight w:val="none"/>
          <w:lang w:eastAsia="zh-CN"/>
        </w:rPr>
        <w:t>202</w:t>
      </w:r>
      <w:r>
        <w:rPr>
          <w:rFonts w:hint="eastAsia" w:ascii="仿宋_GB2312" w:hAnsi="仿宋_GB2312" w:cs="仿宋_GB2312"/>
          <w:bCs/>
          <w:color w:val="auto"/>
          <w:sz w:val="32"/>
          <w:szCs w:val="30"/>
          <w:highlight w:val="none"/>
          <w:lang w:val="en-US" w:eastAsia="zh-CN"/>
        </w:rPr>
        <w:t>4</w:t>
      </w:r>
      <w:r>
        <w:rPr>
          <w:rFonts w:hint="eastAsia" w:ascii="仿宋_GB2312" w:hAnsi="仿宋_GB2312" w:cs="仿宋_GB2312"/>
          <w:bCs/>
          <w:color w:val="auto"/>
          <w:sz w:val="32"/>
          <w:szCs w:val="30"/>
          <w:highlight w:val="none"/>
        </w:rPr>
        <w:t>年</w:t>
      </w:r>
      <w:r>
        <w:rPr>
          <w:rFonts w:hint="eastAsia" w:ascii="仿宋_GB2312" w:hAnsi="仿宋_GB2312" w:cs="仿宋_GB2312"/>
          <w:bCs/>
          <w:color w:val="auto"/>
          <w:sz w:val="32"/>
          <w:szCs w:val="30"/>
          <w:highlight w:val="none"/>
          <w:lang w:val="en-US" w:eastAsia="zh-CN"/>
        </w:rPr>
        <w:t>1</w:t>
      </w:r>
      <w:r>
        <w:rPr>
          <w:rFonts w:hint="eastAsia" w:ascii="仿宋_GB2312" w:hAnsi="仿宋_GB2312" w:cs="仿宋_GB2312"/>
          <w:bCs/>
          <w:color w:val="auto"/>
          <w:sz w:val="32"/>
          <w:szCs w:val="30"/>
          <w:highlight w:val="none"/>
        </w:rPr>
        <w:t>月-</w:t>
      </w:r>
      <w:r>
        <w:rPr>
          <w:rFonts w:hint="eastAsia" w:ascii="仿宋_GB2312" w:hAnsi="仿宋_GB2312" w:cs="仿宋_GB2312"/>
          <w:bCs/>
          <w:color w:val="auto"/>
          <w:sz w:val="32"/>
          <w:szCs w:val="30"/>
          <w:highlight w:val="none"/>
          <w:lang w:val="en-US" w:eastAsia="zh-CN"/>
        </w:rPr>
        <w:t>12</w:t>
      </w:r>
      <w:r>
        <w:rPr>
          <w:rFonts w:hint="eastAsia" w:ascii="仿宋_GB2312" w:hAnsi="仿宋_GB2312" w:cs="仿宋_GB2312"/>
          <w:bCs/>
          <w:color w:val="auto"/>
          <w:sz w:val="32"/>
          <w:szCs w:val="30"/>
          <w:highlight w:val="none"/>
        </w:rPr>
        <w:t>月</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实施结果：</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本项目的实施符合《关于提前下达2024年城乡义务教育补助经费预算（中央直达资金）的通知》克财教【2023】52号、《关于下达2024年城乡义务教育补助经费预算第二批（中央直达资金）的通知》克财教【2024】17号文件</w:t>
      </w:r>
      <w:r>
        <w:rPr>
          <w:rFonts w:hint="eastAsia" w:ascii="仿宋_GB2312" w:hAnsi="仿宋_GB2312" w:cs="仿宋_GB2312"/>
          <w:bCs/>
          <w:color w:val="auto"/>
          <w:sz w:val="32"/>
          <w:szCs w:val="30"/>
          <w:highlight w:val="none"/>
          <w:lang w:val="en-US" w:eastAsia="zh-CN"/>
        </w:rPr>
        <w:t>的资金支持及</w:t>
      </w:r>
      <w:r>
        <w:rPr>
          <w:rFonts w:hint="eastAsia" w:ascii="仿宋_GB2312" w:hAnsi="仿宋_GB2312" w:cs="仿宋_GB2312"/>
          <w:bCs/>
          <w:color w:val="auto"/>
          <w:sz w:val="32"/>
          <w:szCs w:val="30"/>
          <w:highlight w:val="none"/>
        </w:rPr>
        <w:t>相关政策要求</w:t>
      </w:r>
      <w:r>
        <w:rPr>
          <w:rFonts w:hint="eastAsia" w:ascii="仿宋_GB2312" w:hAnsi="仿宋_GB2312" w:cs="仿宋_GB2312"/>
          <w:bCs/>
          <w:color w:val="auto"/>
          <w:sz w:val="32"/>
          <w:szCs w:val="30"/>
          <w:highlight w:val="none"/>
          <w:lang w:eastAsia="zh-CN"/>
        </w:rPr>
        <w:t>，</w:t>
      </w:r>
      <w:r>
        <w:rPr>
          <w:rFonts w:hint="eastAsia" w:ascii="仿宋_GB2312" w:hAnsi="仿宋_GB2312" w:cs="仿宋_GB2312"/>
          <w:bCs/>
          <w:color w:val="auto"/>
          <w:sz w:val="32"/>
          <w:szCs w:val="30"/>
          <w:highlight w:val="none"/>
          <w:lang w:val="en-US" w:eastAsia="zh-CN"/>
        </w:rPr>
        <w:t>2024年全面</w:t>
      </w:r>
      <w:r>
        <w:rPr>
          <w:rFonts w:hint="eastAsia" w:ascii="仿宋_GB2312" w:hAnsi="仿宋_GB2312" w:cs="仿宋_GB2312"/>
          <w:bCs/>
          <w:color w:val="auto"/>
          <w:sz w:val="32"/>
          <w:szCs w:val="30"/>
          <w:highlight w:val="none"/>
        </w:rPr>
        <w:t>落实农村义务教育学生营养改善计划，分配17个预算单位（72所农村中小学），享受营养膳食学生人数41288名；通过实施本项目，减轻农村学生家庭负担</w:t>
      </w:r>
      <w:r>
        <w:rPr>
          <w:rFonts w:hint="eastAsia" w:ascii="仿宋_GB2312" w:hAnsi="仿宋_GB2312" w:cs="仿宋_GB2312"/>
          <w:bCs/>
          <w:color w:val="auto"/>
          <w:sz w:val="32"/>
          <w:szCs w:val="30"/>
          <w:highlight w:val="none"/>
          <w:lang w:eastAsia="zh-CN"/>
        </w:rPr>
        <w:t>，</w:t>
      </w:r>
      <w:r>
        <w:rPr>
          <w:rFonts w:hint="eastAsia" w:ascii="仿宋_GB2312" w:hAnsi="仿宋_GB2312" w:cs="仿宋_GB2312"/>
          <w:bCs/>
          <w:color w:val="auto"/>
          <w:sz w:val="32"/>
          <w:szCs w:val="30"/>
          <w:highlight w:val="none"/>
        </w:rPr>
        <w:t>提升义务教育的巩固率和教育教学质量，为当地教育事业的长远发展奠定坚实基础。</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3．资金投入和使用情况</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80" w:firstLineChars="250"/>
        <w:jc w:val="left"/>
        <w:rPr>
          <w:rStyle w:val="11"/>
          <w:rFonts w:hint="eastAsia" w:ascii="仿宋_GB2312" w:hAnsi="仿宋_GB2312" w:cs="仿宋_GB2312"/>
          <w:b w:val="0"/>
          <w:bCs w:val="0"/>
          <w:color w:val="auto"/>
          <w:spacing w:val="-4"/>
          <w:sz w:val="32"/>
          <w:szCs w:val="30"/>
          <w:highlight w:val="none"/>
        </w:rPr>
      </w:pPr>
      <w:r>
        <w:rPr>
          <w:rStyle w:val="11"/>
          <w:rFonts w:hint="eastAsia" w:ascii="仿宋_GB2312" w:hAnsi="仿宋_GB2312" w:cs="仿宋_GB2312"/>
          <w:b w:val="0"/>
          <w:bCs w:val="0"/>
          <w:color w:val="auto"/>
          <w:spacing w:val="-4"/>
          <w:sz w:val="32"/>
          <w:szCs w:val="30"/>
          <w:highlight w:val="none"/>
        </w:rPr>
        <w:t>资金投入情况：本项目总投资3992.14万元，资金来源为中央</w:t>
      </w:r>
      <w:r>
        <w:rPr>
          <w:rStyle w:val="11"/>
          <w:rFonts w:hint="eastAsia" w:ascii="仿宋_GB2312" w:hAnsi="仿宋_GB2312" w:cs="仿宋_GB2312"/>
          <w:b w:val="0"/>
          <w:bCs w:val="0"/>
          <w:color w:val="auto"/>
          <w:spacing w:val="-4"/>
          <w:sz w:val="32"/>
          <w:szCs w:val="30"/>
          <w:highlight w:val="none"/>
          <w:lang w:val="en-US" w:eastAsia="zh-CN"/>
        </w:rPr>
        <w:t>直达资金</w:t>
      </w:r>
      <w:r>
        <w:rPr>
          <w:rStyle w:val="11"/>
          <w:rFonts w:hint="eastAsia" w:ascii="仿宋_GB2312" w:hAnsi="仿宋_GB2312" w:cs="仿宋_GB2312"/>
          <w:b w:val="0"/>
          <w:bCs w:val="0"/>
          <w:color w:val="auto"/>
          <w:spacing w:val="-4"/>
          <w:sz w:val="32"/>
          <w:szCs w:val="30"/>
          <w:highlight w:val="none"/>
        </w:rPr>
        <w:t>。</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80" w:firstLineChars="250"/>
        <w:jc w:val="left"/>
        <w:rPr>
          <w:rStyle w:val="11"/>
          <w:rFonts w:hint="eastAsia" w:ascii="仿宋_GB2312" w:hAnsi="仿宋_GB2312" w:cs="仿宋_GB2312"/>
          <w:b w:val="0"/>
          <w:color w:val="auto"/>
          <w:spacing w:val="-4"/>
          <w:sz w:val="32"/>
          <w:szCs w:val="30"/>
          <w:highlight w:val="none"/>
        </w:rPr>
      </w:pPr>
      <w:r>
        <w:rPr>
          <w:rStyle w:val="11"/>
          <w:rFonts w:hint="eastAsia" w:ascii="仿宋_GB2312" w:hAnsi="仿宋_GB2312" w:cs="仿宋_GB2312"/>
          <w:b w:val="0"/>
          <w:color w:val="auto"/>
          <w:spacing w:val="-4"/>
          <w:sz w:val="32"/>
          <w:szCs w:val="30"/>
          <w:highlight w:val="none"/>
        </w:rPr>
        <w:t>资金使用情况：根据项目实施情况，项目资金实际支付3260.88万元，资金执行率达到</w:t>
      </w:r>
      <w:r>
        <w:rPr>
          <w:rStyle w:val="11"/>
          <w:rFonts w:hint="eastAsia" w:ascii="仿宋_GB2312" w:hAnsi="仿宋_GB2312" w:cs="仿宋_GB2312"/>
          <w:b w:val="0"/>
          <w:color w:val="auto"/>
          <w:spacing w:val="-4"/>
          <w:sz w:val="32"/>
          <w:szCs w:val="30"/>
          <w:highlight w:val="none"/>
          <w:lang w:val="en-US" w:eastAsia="zh-CN"/>
        </w:rPr>
        <w:t>81.68</w:t>
      </w:r>
      <w:r>
        <w:rPr>
          <w:rStyle w:val="11"/>
          <w:rFonts w:hint="eastAsia" w:ascii="仿宋_GB2312" w:hAnsi="仿宋_GB2312" w:cs="仿宋_GB2312"/>
          <w:b w:val="0"/>
          <w:color w:val="auto"/>
          <w:spacing w:val="-4"/>
          <w:sz w:val="32"/>
          <w:szCs w:val="30"/>
          <w:highlight w:val="none"/>
        </w:rPr>
        <w:t>%。具体使用情况如下：</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80" w:firstLineChars="250"/>
        <w:jc w:val="left"/>
        <w:rPr>
          <w:rStyle w:val="11"/>
          <w:rFonts w:hint="eastAsia" w:ascii="仿宋_GB2312" w:eastAsia="仿宋_GB2312"/>
          <w:b w:val="0"/>
          <w:color w:val="auto"/>
          <w:spacing w:val="-4"/>
          <w:sz w:val="32"/>
          <w:highlight w:val="none"/>
          <w:lang w:val="en-US" w:eastAsia="zh-CN"/>
        </w:rPr>
      </w:pPr>
      <w:r>
        <w:rPr>
          <w:rStyle w:val="11"/>
          <w:rFonts w:hint="eastAsia" w:ascii="仿宋_GB2312"/>
          <w:b w:val="0"/>
          <w:color w:val="auto"/>
          <w:spacing w:val="-4"/>
          <w:sz w:val="32"/>
          <w:highlight w:val="none"/>
        </w:rPr>
        <w:t>学生营养改善</w:t>
      </w:r>
      <w:r>
        <w:rPr>
          <w:rStyle w:val="11"/>
          <w:rFonts w:hint="eastAsia" w:ascii="仿宋_GB2312"/>
          <w:b w:val="0"/>
          <w:color w:val="auto"/>
          <w:spacing w:val="-4"/>
          <w:sz w:val="32"/>
          <w:highlight w:val="none"/>
          <w:lang w:val="en-US" w:eastAsia="zh-CN"/>
        </w:rPr>
        <w:t>补助3260.88万元</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3" w:firstLineChars="250"/>
        <w:jc w:val="left"/>
        <w:rPr>
          <w:rFonts w:hint="eastAsia" w:ascii="楷体" w:hAnsi="楷体" w:eastAsia="楷体" w:cs="仿宋_GB2312"/>
          <w:b/>
          <w:bCs w:val="0"/>
          <w:color w:val="auto"/>
          <w:sz w:val="32"/>
          <w:szCs w:val="32"/>
          <w:highlight w:val="none"/>
        </w:rPr>
      </w:pPr>
      <w:r>
        <w:rPr>
          <w:rFonts w:hint="eastAsia" w:ascii="楷体" w:hAnsi="楷体" w:eastAsia="楷体" w:cs="仿宋_GB2312"/>
          <w:b/>
          <w:bCs w:val="0"/>
          <w:color w:val="auto"/>
          <w:sz w:val="32"/>
          <w:szCs w:val="32"/>
          <w:highlight w:val="none"/>
        </w:rPr>
        <w:t>（二）项目绩效目标</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contextualSpacing/>
        <w:rPr>
          <w:rFonts w:hint="eastAsia" w:ascii="仿宋_GB2312" w:hAnsi="仿宋" w:cs="宋体"/>
          <w:color w:val="auto"/>
          <w:sz w:val="32"/>
          <w:szCs w:val="32"/>
          <w:highlight w:val="none"/>
        </w:rPr>
      </w:pPr>
      <w:r>
        <w:rPr>
          <w:rFonts w:hint="eastAsia" w:ascii="仿宋_GB2312" w:hAnsi="仿宋_GB2312" w:cs="仿宋_GB2312"/>
          <w:color w:val="auto"/>
          <w:sz w:val="32"/>
          <w:highlight w:val="none"/>
        </w:rPr>
        <w:t>年度总体目标为：根据《关于提前下达2024年城乡义务教育补助经费预算（中央直达资金）的通知》克财教【2023】52号、《关于下达2024年城乡义务教育补助经费预算第二批（中央直达资金）的通知》克财教【2024】17号文件，下达资金3992.14万元，主要用于落实农村义务教育学生营养改善计划，分配17个预算单位（72所农村中小学），享受营养膳食学生人数41288名；通过实施本项目，助力保障受补助学生基本生活，减轻农村学生家庭负担，提高农村学生健康水平。</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黑体" w:hAnsi="黑体" w:eastAsia="黑体" w:cs="仿宋_GB2312"/>
          <w:bCs/>
          <w:color w:val="auto"/>
          <w:sz w:val="32"/>
          <w:highlight w:val="none"/>
        </w:rPr>
      </w:pPr>
      <w:r>
        <w:rPr>
          <w:rFonts w:hint="eastAsia" w:ascii="黑体" w:hAnsi="黑体" w:eastAsia="黑体" w:cs="仿宋_GB2312"/>
          <w:bCs/>
          <w:color w:val="auto"/>
          <w:sz w:val="32"/>
          <w:highlight w:val="none"/>
        </w:rPr>
        <w:t>二、绩效评价工作开展情况</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jc w:val="both"/>
        <w:textAlignment w:val="auto"/>
        <w:rPr>
          <w:rFonts w:hint="eastAsia" w:ascii="楷体" w:hAnsi="楷体" w:eastAsia="楷体" w:cs="仿宋_GB2312"/>
          <w:b/>
          <w:bCs w:val="0"/>
          <w:color w:val="auto"/>
          <w:sz w:val="32"/>
          <w:szCs w:val="32"/>
          <w:highlight w:val="none"/>
        </w:rPr>
      </w:pPr>
      <w:r>
        <w:rPr>
          <w:rFonts w:hint="eastAsia" w:ascii="楷体" w:hAnsi="楷体" w:eastAsia="楷体" w:cs="仿宋_GB2312"/>
          <w:b/>
          <w:bCs w:val="0"/>
          <w:color w:val="auto"/>
          <w:sz w:val="32"/>
          <w:szCs w:val="32"/>
          <w:highlight w:val="none"/>
        </w:rPr>
        <w:t>（一）绩效评价目的、对象和范围</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3" w:firstLineChars="200"/>
        <w:contextualSpacing/>
        <w:jc w:val="both"/>
        <w:textAlignment w:val="auto"/>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 xml:space="preserve"> 1．绩效评价目的</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本次绩效评价遵循财政部《项目支出绩效评价管理办法》（财预〔</w:t>
      </w:r>
      <w:r>
        <w:rPr>
          <w:rFonts w:hint="eastAsia" w:ascii="仿宋_GB2312" w:hAnsi="仿宋_GB2312" w:eastAsia="仿宋_GB2312" w:cs="仿宋_GB2312"/>
          <w:color w:val="auto"/>
          <w:sz w:val="32"/>
          <w:szCs w:val="32"/>
          <w:highlight w:val="none"/>
          <w:lang w:eastAsia="zh-CN"/>
        </w:rPr>
        <w:t>202</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rPr>
        <w:t>〕10号）和自治区财政厅</w:t>
      </w:r>
      <w:r>
        <w:rPr>
          <w:rFonts w:hint="eastAsia" w:ascii="仿宋_GB2312" w:hAnsi="仿宋_GB2312" w:eastAsia="仿宋_GB2312" w:cs="仿宋_GB2312"/>
          <w:color w:val="auto"/>
          <w:kern w:val="0"/>
          <w:sz w:val="32"/>
          <w:szCs w:val="32"/>
          <w:highlight w:val="none"/>
          <w:shd w:val="clear" w:color="auto" w:fill="FFFFFF"/>
        </w:rPr>
        <w:t>《自治区财政支出绩效评价管理暂行办法》（新财预〔2018〕189号）</w:t>
      </w:r>
      <w:r>
        <w:rPr>
          <w:rFonts w:hint="eastAsia" w:ascii="仿宋_GB2312" w:hAnsi="仿宋_GB2312" w:eastAsia="仿宋_GB2312" w:cs="仿宋_GB2312"/>
          <w:color w:val="auto"/>
          <w:sz w:val="32"/>
          <w:szCs w:val="32"/>
          <w:highlight w:val="none"/>
        </w:rPr>
        <w:t>等相关政策文件与规定，</w:t>
      </w:r>
      <w:r>
        <w:rPr>
          <w:rFonts w:hint="eastAsia" w:ascii="仿宋_GB2312" w:hAnsi="仿宋_GB2312" w:eastAsia="仿宋_GB2312" w:cs="仿宋_GB2312"/>
          <w:color w:val="auto"/>
          <w:sz w:val="32"/>
          <w:szCs w:val="32"/>
          <w:highlight w:val="none"/>
          <w:lang w:val="en-US" w:eastAsia="zh-CN"/>
        </w:rPr>
        <w:t>绩效评价</w:t>
      </w:r>
      <w:r>
        <w:rPr>
          <w:rFonts w:hint="eastAsia" w:ascii="仿宋_GB2312" w:hAnsi="仿宋_GB2312" w:eastAsia="仿宋_GB2312" w:cs="仿宋_GB2312"/>
          <w:color w:val="auto"/>
          <w:sz w:val="32"/>
          <w:szCs w:val="32"/>
          <w:highlight w:val="none"/>
        </w:rPr>
        <w:t>旨在评价</w:t>
      </w:r>
      <w:r>
        <w:rPr>
          <w:rFonts w:hint="eastAsia" w:ascii="仿宋_GB2312" w:hAnsi="仿宋_GB2312" w:eastAsia="仿宋_GB2312" w:cs="仿宋_GB2312"/>
          <w:color w:val="auto"/>
          <w:sz w:val="32"/>
          <w:szCs w:val="32"/>
          <w:highlight w:val="none"/>
          <w:lang w:eastAsia="zh-CN"/>
        </w:rPr>
        <w:t>本</w:t>
      </w:r>
      <w:r>
        <w:rPr>
          <w:rFonts w:hint="eastAsia" w:ascii="仿宋_GB2312" w:hAnsi="仿宋_GB2312" w:eastAsia="仿宋_GB2312" w:cs="仿宋_GB2312"/>
          <w:color w:val="auto"/>
          <w:sz w:val="32"/>
          <w:szCs w:val="32"/>
          <w:highlight w:val="none"/>
        </w:rPr>
        <w:t>项目前期审批、实施过程及实施效果，促进预算管理不断完善，加快绩效目标的实现，保证财政资金有效、合理使用，具体绩效评价的目的细分如下：</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提升财政资金的使用效能。</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2．绩效评价对象</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对</w:t>
      </w:r>
      <w:r>
        <w:rPr>
          <w:rFonts w:hint="eastAsia" w:ascii="仿宋_GB2312" w:hAnsi="仿宋_GB2312" w:cs="仿宋_GB2312"/>
          <w:color w:val="auto"/>
          <w:sz w:val="32"/>
          <w:szCs w:val="32"/>
          <w:highlight w:val="none"/>
          <w:lang w:eastAsia="zh-CN"/>
        </w:rPr>
        <w:t>2024年城乡义务教育补助经费（学生营养改善计划项目）</w:t>
      </w:r>
      <w:r>
        <w:rPr>
          <w:rFonts w:hint="eastAsia" w:ascii="仿宋_GB2312" w:hAnsi="仿宋_GB2312" w:cs="仿宋_GB2312"/>
          <w:color w:val="auto"/>
          <w:sz w:val="32"/>
          <w:szCs w:val="32"/>
          <w:highlight w:val="none"/>
        </w:rPr>
        <w:t>从预算编制合理性、资金使用合规性、项目管理的规范性、实施情况、总体绩效目标、各项绩效指标完成情况以及预算执行情况进行科学性评价。</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3．绩效评价范围</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本次评价从项目决策（包括绩效目标、决策过程）、项目管理（包括项目资金、项目实施）、项目产出（包括项目产出数量、产出质量、产出时效和产出成本）项目效益四个维度进行评价。</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楷体" w:hAnsi="楷体" w:eastAsia="楷体" w:cs="仿宋_GB2312"/>
          <w:b/>
          <w:bCs w:val="0"/>
          <w:color w:val="auto"/>
          <w:sz w:val="32"/>
          <w:highlight w:val="none"/>
        </w:rPr>
      </w:pPr>
      <w:r>
        <w:rPr>
          <w:rFonts w:hint="eastAsia" w:ascii="楷体" w:hAnsi="楷体" w:eastAsia="楷体" w:cs="仿宋_GB2312"/>
          <w:b/>
          <w:bCs w:val="0"/>
          <w:color w:val="auto"/>
          <w:sz w:val="32"/>
          <w:highlight w:val="none"/>
        </w:rPr>
        <w:t>（二）绩效评价原则、评价指标体系（附表说明）、评价方法、评价标准等。</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_GB2312" w:cs="仿宋_GB2312"/>
          <w:b/>
          <w:color w:val="auto"/>
          <w:sz w:val="32"/>
          <w:highlight w:val="none"/>
        </w:rPr>
      </w:pPr>
      <w:r>
        <w:rPr>
          <w:rFonts w:hint="eastAsia" w:ascii="仿宋_GB2312" w:hAnsi="仿宋" w:cs="宋体"/>
          <w:b/>
          <w:color w:val="auto"/>
          <w:sz w:val="32"/>
          <w:szCs w:val="32"/>
          <w:highlight w:val="none"/>
        </w:rPr>
        <w:t>1．</w:t>
      </w:r>
      <w:r>
        <w:rPr>
          <w:rFonts w:hint="eastAsia" w:ascii="仿宋_GB2312" w:hAnsi="仿宋_GB2312" w:cs="仿宋_GB2312"/>
          <w:b/>
          <w:color w:val="auto"/>
          <w:sz w:val="32"/>
          <w:highlight w:val="none"/>
        </w:rPr>
        <w:t xml:space="preserve">绩效评价原则 </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（1）科学公正。绩效评价应当运用科学合理的方法，按照规范的程序，对项目绩效进行客观、公正的反映。</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（3）激励约束。绩效评价结果</w:t>
      </w:r>
      <w:r>
        <w:rPr>
          <w:rFonts w:hint="eastAsia" w:ascii="仿宋_GB2312" w:hAnsi="仿宋_GB2312" w:cs="仿宋_GB2312"/>
          <w:color w:val="auto"/>
          <w:sz w:val="32"/>
          <w:highlight w:val="none"/>
          <w:lang w:eastAsia="zh-CN"/>
        </w:rPr>
        <w:t>应用、</w:t>
      </w:r>
      <w:r>
        <w:rPr>
          <w:rFonts w:hint="eastAsia" w:ascii="仿宋_GB2312" w:hAnsi="仿宋_GB2312" w:cs="仿宋_GB2312"/>
          <w:color w:val="auto"/>
          <w:sz w:val="32"/>
          <w:highlight w:val="none"/>
        </w:rPr>
        <w:t>预算安排、政策调整、改进管理实质性挂钩，体现奖优罚劣和激励导向，有效要安排、低效要压减、无效要问责。</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（4）公开透明。绩效评价结果应依法依规公开，并自觉接受社会监督。</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_GB2312" w:cs="仿宋_GB2312"/>
          <w:b/>
          <w:bCs/>
          <w:color w:val="auto"/>
          <w:sz w:val="32"/>
          <w:highlight w:val="none"/>
          <w:lang w:val="en-US" w:eastAsia="zh-CN"/>
        </w:rPr>
      </w:pPr>
      <w:r>
        <w:rPr>
          <w:rFonts w:hint="eastAsia" w:ascii="仿宋_GB2312" w:hAnsi="仿宋_GB2312" w:cs="仿宋_GB2312"/>
          <w:b/>
          <w:bCs/>
          <w:color w:val="auto"/>
          <w:sz w:val="32"/>
          <w:highlight w:val="none"/>
          <w:lang w:eastAsia="zh-CN"/>
        </w:rPr>
        <w:t>2</w:t>
      </w:r>
      <w:r>
        <w:rPr>
          <w:rFonts w:hint="eastAsia" w:ascii="仿宋_GB2312" w:hAnsi="仿宋_GB2312" w:cs="仿宋_GB2312"/>
          <w:b/>
          <w:bCs/>
          <w:color w:val="auto"/>
          <w:sz w:val="32"/>
          <w:highlight w:val="none"/>
        </w:rPr>
        <w:t>．</w:t>
      </w:r>
      <w:r>
        <w:rPr>
          <w:rFonts w:hint="eastAsia" w:ascii="仿宋_GB2312" w:hAnsi="仿宋_GB2312" w:cs="仿宋_GB2312"/>
          <w:b/>
          <w:bCs/>
          <w:color w:val="auto"/>
          <w:sz w:val="32"/>
          <w:highlight w:val="none"/>
          <w:lang w:val="en-US" w:eastAsia="zh-CN"/>
        </w:rPr>
        <w:t>绩效评价指标体系</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eastAsia="zh-CN"/>
        </w:rPr>
      </w:pPr>
      <w:r>
        <w:rPr>
          <w:rFonts w:hint="eastAsia" w:ascii="仿宋_GB2312" w:hAnsi="仿宋_GB2312" w:cs="仿宋_GB2312"/>
          <w:color w:val="auto"/>
          <w:sz w:val="32"/>
          <w:highlight w:val="none"/>
          <w:lang w:val="en-US" w:eastAsia="zh-CN"/>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在对2024年城乡义务教育补助经费（学生营养改善计划项目）的深入调研基础上，按照《项目支出绩效评价管理办法》（财预〔2021〕10号）对于指标体系的要求和规范，建立一套适合评价2024年城乡义务教育补助经费（学生营养改善计划项目）的指标体系，从项目决策、项目过程、项目产出和项目绩效四个维度全面考察2024年城乡义务教育补助经费（学生营养改善计划项目）资金的效益，并重点对于项目的产出和绩效进行总体分析，以达到通过指标体系的科学评价反思管理及决策问题的目标。（见附件1）</w:t>
      </w:r>
    </w:p>
    <w:p>
      <w:pPr>
        <w:numPr>
          <w:ilvl w:val="0"/>
          <w:numId w:val="2"/>
        </w:num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 w:eastAsia="仿宋_GB2312"/>
          <w:color w:val="auto"/>
          <w:sz w:val="32"/>
          <w:szCs w:val="32"/>
          <w:highlight w:val="none"/>
        </w:rPr>
      </w:pPr>
      <w:r>
        <w:rPr>
          <w:rFonts w:hint="eastAsia" w:ascii="仿宋_GB2312" w:hAnsi="仿宋_GB2312" w:cs="仿宋_GB2312"/>
          <w:b/>
          <w:bCs/>
          <w:color w:val="auto"/>
          <w:sz w:val="32"/>
          <w:highlight w:val="none"/>
          <w:lang w:val="en-US" w:eastAsia="zh-CN"/>
        </w:rPr>
        <w:t>绩效评价方法</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三级指标分析环节：总体采用比较法，同时辅以文献法、成本效益法、因素分析法以及公众评判法，根据不同三级指标类型进行逐项分析。</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②定性指标分析环节：主要采用公众评判法，通过问卷及抽样调查等方式评价本项目实施后社会公众对于其实施效果的满意程度，将调研结果按照《项目支出绩效评价管理办法》（财预〔2020〕10号）、《自治区项目支出绩效目标设置指引》（新财预〔2022〕42号）文要求分为基本达成目标、部分实现目标、实现目标程度较低三个档次，并分别按照该指标对应分值区间100%-80%(含)、80%-60%(含)、60%-0%合理确定分值，详细评价方法的应用如下:</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立项依据充分性：比较法、文献法，查找法律法规政策以及规划，对比实际执行内容和政策支持内容是否匹配。</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立项程序规范性：比较法、文献法，查找相关项目设立的政策和文件要求，对比分析实际执行程序是否按照政策及文件要求执行，分析立项程序的规范性。</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绩效目标合理性：比较法，对比分析年初编制项目支出绩效目标表与项目内容的相关性、资金的匹配性等。</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绩效指标明确性：比较法，比较分析年初编制项目支出绩效目标表是否符合双七原则，是否可衡量。</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预算编制科学性</w:t>
      </w:r>
      <w:r>
        <w:rPr>
          <w:rFonts w:hint="eastAsia" w:ascii="仿宋_GB2312" w:hAnsi="仿宋_GB2312" w:cs="仿宋_GB2312"/>
          <w:color w:val="auto"/>
          <w:sz w:val="32"/>
          <w:highlight w:val="none"/>
          <w:lang w:val="en-US" w:eastAsia="zh-CN"/>
        </w:rPr>
        <w:tab/>
      </w:r>
      <w:r>
        <w:rPr>
          <w:rFonts w:hint="eastAsia" w:ascii="仿宋_GB2312" w:hAnsi="仿宋_GB2312" w:cs="仿宋_GB2312"/>
          <w:color w:val="auto"/>
          <w:sz w:val="32"/>
          <w:highlight w:val="none"/>
          <w:lang w:val="en-US" w:eastAsia="zh-CN"/>
        </w:rPr>
        <w:t>成本效益分析法</w:t>
      </w:r>
      <w:r>
        <w:rPr>
          <w:rFonts w:hint="eastAsia" w:ascii="仿宋_GB2312" w:hAnsi="仿宋_GB2312" w:cs="仿宋_GB2312"/>
          <w:color w:val="auto"/>
          <w:sz w:val="32"/>
          <w:highlight w:val="none"/>
          <w:lang w:val="en-US" w:eastAsia="zh-CN"/>
        </w:rPr>
        <w:tab/>
      </w:r>
      <w:r>
        <w:rPr>
          <w:rFonts w:hint="eastAsia" w:ascii="仿宋_GB2312" w:hAnsi="仿宋_GB2312" w:cs="仿宋_GB2312"/>
          <w:color w:val="auto"/>
          <w:sz w:val="32"/>
          <w:highlight w:val="none"/>
          <w:lang w:val="en-US" w:eastAsia="zh-CN"/>
        </w:rPr>
        <w:t>分析在产出一定的情况下，成本取值是否有依据，是否经过询价，是否按照市场最低成本编制。</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资金分配合理性：因素分析法，综合分析资金的分配依据是否充分，分配金额是否与项目实施单位需求金额一致，</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资金到位率：比较法，资金到位率预期指标值应为100%，通过实际计算，分析实际完成值和预期指标值之间的差距和原因。</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预算执行率：比较法，预算执行率预期指标值应为100%，通过实际计算，分析实际完成值和预期指标值之间的差距和原因。</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资金使用合规性：文献法、实地勘察法，一是查找资金管理办法，包括专项资金管理办法和单位自有资金管理办法；二是通过查账了解具体开支情况，是否专用专用，是否按照标准支出。</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制度执行有效性：比较法，结合项目实际实施过程性文件，根据已建设的财务管理制度和项目管理制度综合分析制度执行的有效性。</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定性指标：公众评判法，通过问卷及抽样调查等方式评价本项目实施后社会公众对于其实施效果的满意程度。</w:t>
      </w:r>
    </w:p>
    <w:p>
      <w:pPr>
        <w:numPr>
          <w:ilvl w:val="0"/>
          <w:numId w:val="2"/>
        </w:numPr>
        <w:pBdr>
          <w:top w:val="none" w:color="auto" w:sz="0" w:space="0"/>
          <w:left w:val="none" w:color="auto" w:sz="0" w:space="0"/>
          <w:bottom w:val="none" w:color="auto" w:sz="0" w:space="31"/>
          <w:right w:val="none" w:color="auto" w:sz="0" w:space="2"/>
        </w:pBdr>
        <w:autoSpaceDN w:val="0"/>
        <w:adjustRightInd w:val="0"/>
        <w:spacing w:line="560" w:lineRule="exact"/>
        <w:ind w:left="0" w:leftChars="0" w:firstLine="643" w:firstLineChars="200"/>
        <w:contextualSpacing/>
        <w:rPr>
          <w:rFonts w:hint="eastAsia" w:ascii="仿宋_GB2312" w:hAnsi="仿宋_GB2312" w:eastAsia="仿宋_GB2312" w:cs="仿宋_GB2312"/>
          <w:b/>
          <w:color w:val="auto"/>
          <w:sz w:val="32"/>
          <w:szCs w:val="32"/>
          <w:highlight w:val="none"/>
          <w:lang w:val="en-US" w:eastAsia="zh-CN" w:bidi="ar-SA"/>
        </w:rPr>
      </w:pPr>
      <w:r>
        <w:rPr>
          <w:rFonts w:hint="eastAsia" w:ascii="仿宋_GB2312" w:hAnsi="仿宋_GB2312" w:eastAsia="仿宋_GB2312" w:cs="仿宋_GB2312"/>
          <w:b/>
          <w:color w:val="auto"/>
          <w:sz w:val="32"/>
          <w:szCs w:val="32"/>
          <w:highlight w:val="none"/>
          <w:lang w:val="en-US" w:eastAsia="zh-CN" w:bidi="ar-SA"/>
        </w:rPr>
        <w:t>绩效评价标准</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spacing w:line="560" w:lineRule="exact"/>
        <w:ind w:leftChars="0" w:firstLine="640" w:firstLineChars="200"/>
        <w:contextualSpacing/>
        <w:textAlignment w:val="auto"/>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eastAsia="仿宋_GB2312" w:cs="仿宋_GB2312"/>
          <w:color w:val="auto"/>
          <w:sz w:val="32"/>
          <w:szCs w:val="24"/>
          <w:highlight w:val="none"/>
          <w:lang w:val="en-US" w:eastAsia="zh-CN" w:bidi="ar-SA"/>
        </w:rPr>
        <w:t>绩效评价标准通常包括计划标准、行业标准、历史标准等，用于对绩效指标完成情况进行比较。（1）计划标准。指以预先制定的目标、计划、预算、定额等作为评价标准。（2）行业标准。参照国家公布的行业指标数据制定的评价标准。（3）历史标准。参照历史数据制定的评价标准，为体现绩效改进的原则，在可实现的条件下应当确定相对较高的评价标准。（4）财政部门和预算部门确认或认可的其他标准。</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spacing w:line="560" w:lineRule="exact"/>
        <w:ind w:leftChars="0" w:firstLine="640" w:firstLineChars="200"/>
        <w:contextualSpacing/>
        <w:textAlignment w:val="auto"/>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eastAsia="仿宋_GB2312" w:cs="仿宋_GB2312"/>
          <w:color w:val="auto"/>
          <w:sz w:val="32"/>
          <w:szCs w:val="24"/>
          <w:highlight w:val="none"/>
          <w:lang w:val="en-US" w:eastAsia="zh-CN" w:bidi="ar-SA"/>
        </w:rPr>
        <w:t>2024年城乡义务教育补助经费（学生营养改善计划项目）属于新领域发展项目，</w:t>
      </w:r>
      <w:r>
        <w:rPr>
          <w:rFonts w:hint="eastAsia" w:ascii="仿宋_GB2312" w:hAnsi="仿宋_GB2312" w:eastAsia="仿宋_GB2312" w:cs="仿宋_GB2312"/>
          <w:b w:val="0"/>
          <w:bCs/>
          <w:color w:val="auto"/>
          <w:sz w:val="32"/>
          <w:szCs w:val="24"/>
          <w:highlight w:val="none"/>
          <w:lang w:val="en-US" w:eastAsia="zh-CN" w:bidi="ar-SA"/>
        </w:rPr>
        <w:t>有</w:t>
      </w:r>
      <w:r>
        <w:rPr>
          <w:rFonts w:hint="eastAsia" w:ascii="仿宋_GB2312" w:hAnsi="仿宋_GB2312" w:eastAsia="仿宋_GB2312" w:cs="仿宋_GB2312"/>
          <w:color w:val="auto"/>
          <w:sz w:val="32"/>
          <w:szCs w:val="24"/>
          <w:highlight w:val="none"/>
          <w:lang w:val="en-US" w:eastAsia="zh-CN" w:bidi="ar-SA"/>
        </w:rPr>
        <w:t>相应的行业标准和历史标准，故采用</w:t>
      </w:r>
      <w:r>
        <w:rPr>
          <w:rFonts w:hint="eastAsia" w:ascii="仿宋_GB2312" w:eastAsia="仿宋_GB2312"/>
          <w:color w:val="auto"/>
          <w:sz w:val="32"/>
          <w:highlight w:val="none"/>
        </w:rPr>
        <w:t>计划标准、行业标准、历史标准</w:t>
      </w:r>
      <w:r>
        <w:rPr>
          <w:rFonts w:hint="eastAsia" w:ascii="仿宋_GB2312" w:hAnsi="仿宋_GB2312" w:eastAsia="仿宋_GB2312" w:cs="仿宋_GB2312"/>
          <w:color w:val="auto"/>
          <w:sz w:val="32"/>
          <w:szCs w:val="24"/>
          <w:highlight w:val="none"/>
          <w:lang w:val="en-US" w:eastAsia="zh-CN" w:bidi="ar-SA"/>
        </w:rPr>
        <w:t>评价该项目。</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spacing w:line="560" w:lineRule="exact"/>
        <w:ind w:firstLine="643" w:firstLineChars="200"/>
        <w:contextualSpacing/>
        <w:textAlignment w:val="auto"/>
        <w:rPr>
          <w:rFonts w:hint="eastAsia" w:ascii="楷体" w:hAnsi="楷体" w:eastAsia="楷体" w:cs="仿宋_GB2312"/>
          <w:b/>
          <w:bCs/>
          <w:color w:val="auto"/>
          <w:sz w:val="32"/>
          <w:szCs w:val="24"/>
          <w:highlight w:val="none"/>
          <w:lang w:val="en-US" w:eastAsia="zh-CN" w:bidi="ar-SA"/>
        </w:rPr>
      </w:pPr>
      <w:r>
        <w:rPr>
          <w:rFonts w:hint="eastAsia" w:ascii="楷体" w:hAnsi="楷体" w:eastAsia="楷体" w:cs="仿宋_GB2312"/>
          <w:b/>
          <w:bCs/>
          <w:color w:val="auto"/>
          <w:sz w:val="32"/>
          <w:szCs w:val="24"/>
          <w:highlight w:val="none"/>
          <w:lang w:val="en-US" w:eastAsia="zh-CN" w:bidi="ar-SA"/>
        </w:rPr>
        <w:t>（三）绩效评价工作过程。</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spacing w:line="560" w:lineRule="exact"/>
        <w:ind w:left="600" w:leftChars="200"/>
        <w:contextualSpacing/>
        <w:textAlignment w:val="auto"/>
        <w:rPr>
          <w:rFonts w:hint="eastAsia" w:ascii="仿宋_GB2312" w:hAnsi="仿宋_GB2312" w:eastAsia="仿宋_GB2312" w:cs="仿宋_GB2312"/>
          <w:b/>
          <w:color w:val="auto"/>
          <w:sz w:val="32"/>
          <w:szCs w:val="24"/>
          <w:highlight w:val="none"/>
          <w:lang w:val="en-US" w:eastAsia="zh-CN" w:bidi="ar-SA"/>
        </w:rPr>
      </w:pPr>
      <w:r>
        <w:rPr>
          <w:rFonts w:hint="eastAsia" w:ascii="仿宋_GB2312" w:hAnsi="仿宋_GB2312" w:eastAsia="仿宋_GB2312" w:cs="仿宋_GB2312"/>
          <w:b/>
          <w:color w:val="auto"/>
          <w:sz w:val="32"/>
          <w:szCs w:val="24"/>
          <w:highlight w:val="none"/>
          <w:lang w:val="en-US" w:eastAsia="zh-CN" w:bidi="ar-SA"/>
        </w:rPr>
        <w:t>1．前期准备</w:t>
      </w:r>
    </w:p>
    <w:p>
      <w:pPr>
        <w:pStyle w:val="30"/>
        <w:keepNext w:val="0"/>
        <w:keepLines w:val="0"/>
        <w:pageBreakBefore w:val="0"/>
        <w:widowControl w:val="0"/>
        <w:numPr>
          <w:ilvl w:val="0"/>
          <w:numId w:val="0"/>
        </w:numPr>
        <w:kinsoku/>
        <w:wordWrap/>
        <w:overflowPunct/>
        <w:topLinePunct w:val="0"/>
        <w:autoSpaceDE/>
        <w:bidi w:val="0"/>
        <w:snapToGrid/>
        <w:spacing w:before="0" w:after="0" w:line="560" w:lineRule="exact"/>
        <w:ind w:firstLine="640" w:firstLineChars="200"/>
        <w:textAlignment w:val="auto"/>
        <w:outlineLvl w:val="9"/>
        <w:rPr>
          <w:b w:val="0"/>
          <w:bCs w:val="0"/>
          <w:color w:val="auto"/>
          <w:highlight w:val="none"/>
        </w:rPr>
      </w:pPr>
      <w:r>
        <w:rPr>
          <w:rFonts w:hint="eastAsia"/>
          <w:b w:val="0"/>
          <w:bCs w:val="0"/>
          <w:color w:val="auto"/>
          <w:highlight w:val="none"/>
        </w:rPr>
        <w:t>本次评价成立了评价工作组，成员如下：</w:t>
      </w:r>
    </w:p>
    <w:tbl>
      <w:tblPr>
        <w:tblStyle w:val="12"/>
        <w:tblW w:w="82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68"/>
        <w:gridCol w:w="1827"/>
        <w:gridCol w:w="39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7" w:hRule="atLeast"/>
          <w:jc w:val="center"/>
        </w:trPr>
        <w:tc>
          <w:tcPr>
            <w:tcW w:w="2568"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评价人</w:t>
            </w:r>
          </w:p>
        </w:tc>
        <w:tc>
          <w:tcPr>
            <w:tcW w:w="1827" w:type="dxa"/>
            <w:vAlign w:val="center"/>
          </w:tcPr>
          <w:p>
            <w:pPr>
              <w:pStyle w:val="30"/>
              <w:keepNext w:val="0"/>
              <w:keepLines w:val="0"/>
              <w:numPr>
                <w:ilvl w:val="0"/>
                <w:numId w:val="0"/>
              </w:numPr>
              <w:spacing w:line="560" w:lineRule="exact"/>
              <w:jc w:val="center"/>
              <w:rPr>
                <w:rFonts w:hint="eastAsia" w:eastAsia="仿宋_GB2312"/>
                <w:b w:val="0"/>
                <w:bCs w:val="0"/>
                <w:color w:val="auto"/>
                <w:highlight w:val="none"/>
                <w:lang w:eastAsia="zh-CN"/>
              </w:rPr>
            </w:pPr>
            <w:r>
              <w:rPr>
                <w:rFonts w:hint="eastAsia"/>
                <w:b w:val="0"/>
                <w:bCs w:val="0"/>
                <w:color w:val="auto"/>
                <w:highlight w:val="none"/>
              </w:rPr>
              <w:t>职</w:t>
            </w:r>
            <w:r>
              <w:rPr>
                <w:rFonts w:hint="eastAsia"/>
                <w:b w:val="0"/>
                <w:bCs w:val="0"/>
                <w:color w:val="auto"/>
                <w:highlight w:val="none"/>
                <w:lang w:val="en-US" w:eastAsia="zh-CN"/>
              </w:rPr>
              <w:t>务</w:t>
            </w:r>
          </w:p>
        </w:tc>
        <w:tc>
          <w:tcPr>
            <w:tcW w:w="3901" w:type="dxa"/>
            <w:vAlign w:val="center"/>
          </w:tcPr>
          <w:p>
            <w:pPr>
              <w:pStyle w:val="30"/>
              <w:keepNext w:val="0"/>
              <w:keepLines w:val="0"/>
              <w:numPr>
                <w:ilvl w:val="0"/>
                <w:numId w:val="0"/>
              </w:numPr>
              <w:spacing w:line="560" w:lineRule="exact"/>
              <w:jc w:val="center"/>
              <w:rPr>
                <w:rFonts w:hint="eastAsia" w:eastAsia="仿宋_GB2312"/>
                <w:b w:val="0"/>
                <w:bCs w:val="0"/>
                <w:color w:val="auto"/>
                <w:highlight w:val="none"/>
                <w:lang w:eastAsia="zh-CN"/>
              </w:rPr>
            </w:pPr>
            <w:r>
              <w:rPr>
                <w:rFonts w:hint="eastAsia"/>
                <w:b w:val="0"/>
                <w:bCs w:val="0"/>
                <w:color w:val="auto"/>
                <w:highlight w:val="none"/>
              </w:rPr>
              <w:t>职</w:t>
            </w:r>
            <w:r>
              <w:rPr>
                <w:rFonts w:hint="eastAsia"/>
                <w:b w:val="0"/>
                <w:bCs w:val="0"/>
                <w:color w:val="auto"/>
                <w:highlight w:val="none"/>
                <w:lang w:val="en-US" w:eastAsia="zh-CN"/>
              </w:rPr>
              <w:t>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2568"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杜小娟</w:t>
            </w:r>
          </w:p>
        </w:tc>
        <w:tc>
          <w:tcPr>
            <w:tcW w:w="1827"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评价组组长</w:t>
            </w:r>
          </w:p>
        </w:tc>
        <w:tc>
          <w:tcPr>
            <w:tcW w:w="3901" w:type="dxa"/>
            <w:vAlign w:val="center"/>
          </w:tcPr>
          <w:p>
            <w:pPr>
              <w:pStyle w:val="30"/>
              <w:keepNext w:val="0"/>
              <w:keepLines w:val="0"/>
              <w:numPr>
                <w:ilvl w:val="0"/>
                <w:numId w:val="0"/>
              </w:numPr>
              <w:spacing w:line="560" w:lineRule="exact"/>
              <w:jc w:val="center"/>
              <w:rPr>
                <w:rFonts w:hint="default" w:eastAsia="仿宋_GB2312"/>
                <w:b w:val="0"/>
                <w:bCs w:val="0"/>
                <w:color w:val="auto"/>
                <w:highlight w:val="none"/>
                <w:lang w:val="en-US" w:eastAsia="zh-CN"/>
              </w:rPr>
            </w:pPr>
            <w:r>
              <w:rPr>
                <w:rFonts w:hint="eastAsia"/>
                <w:b w:val="0"/>
                <w:bCs w:val="0"/>
                <w:color w:val="auto"/>
                <w:highlight w:val="none"/>
                <w:lang w:val="en-US" w:eastAsia="zh-CN"/>
              </w:rPr>
              <w:t>组织安排绩效评价工作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2568"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阿布力米提</w:t>
            </w:r>
          </w:p>
        </w:tc>
        <w:tc>
          <w:tcPr>
            <w:tcW w:w="1827"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评价组成员</w:t>
            </w:r>
          </w:p>
        </w:tc>
        <w:tc>
          <w:tcPr>
            <w:tcW w:w="3901" w:type="dxa"/>
            <w:vAlign w:val="center"/>
          </w:tcPr>
          <w:p>
            <w:pPr>
              <w:pStyle w:val="30"/>
              <w:keepNext w:val="0"/>
              <w:keepLines w:val="0"/>
              <w:numPr>
                <w:ilvl w:val="0"/>
                <w:numId w:val="0"/>
              </w:numPr>
              <w:spacing w:line="560" w:lineRule="exact"/>
              <w:jc w:val="center"/>
              <w:rPr>
                <w:rFonts w:hint="default" w:eastAsia="仿宋_GB2312"/>
                <w:b w:val="0"/>
                <w:bCs w:val="0"/>
                <w:color w:val="auto"/>
                <w:highlight w:val="none"/>
                <w:lang w:val="en-US" w:eastAsia="zh-CN"/>
              </w:rPr>
            </w:pPr>
            <w:r>
              <w:rPr>
                <w:rFonts w:hint="eastAsia"/>
                <w:b w:val="0"/>
                <w:bCs w:val="0"/>
                <w:color w:val="auto"/>
                <w:highlight w:val="none"/>
                <w:lang w:val="en-US" w:eastAsia="zh-CN"/>
              </w:rPr>
              <w:t>资料整理及信息汇总工作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2568"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热依木</w:t>
            </w:r>
          </w:p>
        </w:tc>
        <w:tc>
          <w:tcPr>
            <w:tcW w:w="1827"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评价组成员</w:t>
            </w:r>
          </w:p>
        </w:tc>
        <w:tc>
          <w:tcPr>
            <w:tcW w:w="3901" w:type="dxa"/>
            <w:vAlign w:val="center"/>
          </w:tcPr>
          <w:p>
            <w:pPr>
              <w:pStyle w:val="30"/>
              <w:keepNext w:val="0"/>
              <w:keepLines w:val="0"/>
              <w:numPr>
                <w:ilvl w:val="0"/>
                <w:numId w:val="0"/>
              </w:numPr>
              <w:spacing w:line="560" w:lineRule="exact"/>
              <w:jc w:val="center"/>
              <w:rPr>
                <w:rFonts w:hint="default" w:eastAsia="仿宋_GB2312"/>
                <w:b w:val="0"/>
                <w:bCs w:val="0"/>
                <w:color w:val="auto"/>
                <w:highlight w:val="none"/>
                <w:lang w:val="en-US" w:eastAsia="zh-CN"/>
              </w:rPr>
            </w:pPr>
            <w:r>
              <w:rPr>
                <w:rFonts w:hint="eastAsia"/>
                <w:b w:val="0"/>
                <w:bCs w:val="0"/>
                <w:color w:val="auto"/>
                <w:highlight w:val="none"/>
                <w:lang w:val="en-US" w:eastAsia="zh-CN"/>
              </w:rPr>
              <w:t>出具项目绩效评价报告</w:t>
            </w:r>
          </w:p>
        </w:tc>
      </w:tr>
    </w:tbl>
    <w:p>
      <w:pPr>
        <w:pStyle w:val="29"/>
        <w:tabs>
          <w:tab w:val="left" w:pos="1123"/>
        </w:tabs>
        <w:spacing w:line="560" w:lineRule="exact"/>
        <w:ind w:firstLine="640"/>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eastAsia="仿宋_GB2312" w:cs="仿宋_GB2312"/>
          <w:color w:val="auto"/>
          <w:sz w:val="32"/>
          <w:szCs w:val="24"/>
          <w:highlight w:val="none"/>
          <w:lang w:val="en-US" w:eastAsia="zh-CN" w:bidi="ar-SA"/>
        </w:rPr>
        <w:t>2025年3月20日开始前期准备工作。评价组通过对评价对象前期调研，确定了评价的目的、方法以及评价的原则，根据2024年城乡义务教育补助经费（学生营养改善计划项目）的内容和特征制定了评价指标体系及评价标准以及评价实施方案，修正并确定所需资料清单，最终确定实施方案。</w:t>
      </w:r>
    </w:p>
    <w:p>
      <w:pPr>
        <w:pStyle w:val="29"/>
        <w:tabs>
          <w:tab w:val="left" w:pos="1123"/>
        </w:tabs>
        <w:spacing w:line="560" w:lineRule="exact"/>
        <w:ind w:firstLine="640"/>
        <w:rPr>
          <w:rFonts w:hint="eastAsia" w:ascii="仿宋_GB2312" w:hAnsi="仿宋_GB2312" w:eastAsia="仿宋_GB2312" w:cs="仿宋_GB2312"/>
          <w:b/>
          <w:color w:val="auto"/>
          <w:sz w:val="32"/>
          <w:szCs w:val="24"/>
          <w:highlight w:val="none"/>
          <w:lang w:val="en-US" w:eastAsia="zh-CN" w:bidi="ar-SA"/>
        </w:rPr>
      </w:pPr>
      <w:r>
        <w:rPr>
          <w:rFonts w:hint="eastAsia" w:ascii="仿宋_GB2312" w:hAnsi="仿宋_GB2312" w:eastAsia="仿宋_GB2312" w:cs="仿宋_GB2312"/>
          <w:b/>
          <w:color w:val="auto"/>
          <w:sz w:val="32"/>
          <w:szCs w:val="24"/>
          <w:highlight w:val="none"/>
          <w:lang w:val="en-US" w:eastAsia="zh-CN" w:bidi="ar-SA"/>
        </w:rPr>
        <w:t>2．组织实施</w:t>
      </w:r>
    </w:p>
    <w:p>
      <w:pPr>
        <w:pStyle w:val="29"/>
        <w:tabs>
          <w:tab w:val="left" w:pos="1123"/>
        </w:tabs>
        <w:spacing w:line="560" w:lineRule="exact"/>
        <w:ind w:firstLine="640"/>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eastAsia="仿宋_GB2312" w:cs="仿宋_GB2312"/>
          <w:color w:val="auto"/>
          <w:sz w:val="32"/>
          <w:szCs w:val="24"/>
          <w:highlight w:val="none"/>
          <w:lang w:val="en-US" w:eastAsia="zh-CN" w:bidi="ar-SA"/>
        </w:rPr>
        <w:t>2025年4月1日-4月20日，评价工作进入实施阶段。数据采集方面，评价组整理单位前期提交的各项资料，与项目实施负责人沟通，了解专项资金的内容、操作流程、管理机制、资金使用方向等情况；进行项目支出部门评价各项工作采集，了解项目设置背景及资金使用等情况。</w:t>
      </w:r>
    </w:p>
    <w:p>
      <w:pPr>
        <w:pStyle w:val="29"/>
        <w:tabs>
          <w:tab w:val="left" w:pos="1123"/>
        </w:tabs>
        <w:spacing w:line="560" w:lineRule="exact"/>
        <w:ind w:firstLine="640"/>
        <w:rPr>
          <w:rFonts w:hint="eastAsia" w:ascii="仿宋_GB2312" w:hAnsi="仿宋_GB2312" w:eastAsia="仿宋_GB2312" w:cs="仿宋_GB2312"/>
          <w:b/>
          <w:color w:val="auto"/>
          <w:sz w:val="32"/>
          <w:szCs w:val="32"/>
          <w:highlight w:val="none"/>
          <w:lang w:val="en-US" w:eastAsia="zh-CN" w:bidi="ar-SA"/>
        </w:rPr>
      </w:pPr>
      <w:r>
        <w:rPr>
          <w:rFonts w:hint="eastAsia" w:ascii="仿宋_GB2312" w:hAnsi="仿宋_GB2312" w:eastAsia="仿宋_GB2312" w:cs="仿宋_GB2312"/>
          <w:b/>
          <w:color w:val="auto"/>
          <w:sz w:val="32"/>
          <w:szCs w:val="32"/>
          <w:highlight w:val="none"/>
          <w:lang w:val="en-US" w:eastAsia="zh-CN" w:bidi="ar-SA"/>
        </w:rPr>
        <w:t>3．分析评价</w:t>
      </w:r>
    </w:p>
    <w:p>
      <w:pPr>
        <w:pStyle w:val="29"/>
        <w:tabs>
          <w:tab w:val="left" w:pos="1123"/>
        </w:tabs>
        <w:spacing w:line="560" w:lineRule="exact"/>
        <w:ind w:firstLine="640"/>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2025年</w:t>
      </w:r>
      <w:r>
        <w:rPr>
          <w:rFonts w:hint="eastAsia" w:ascii="仿宋_GB2312" w:hAnsi="仿宋_GB2312" w:eastAsia="仿宋_GB2312" w:cs="仿宋_GB2312"/>
          <w:color w:val="auto"/>
          <w:sz w:val="32"/>
          <w:szCs w:val="24"/>
          <w:highlight w:val="none"/>
          <w:lang w:val="en-US" w:eastAsia="zh-CN" w:bidi="ar-SA"/>
        </w:rPr>
        <w:t>4</w:t>
      </w:r>
      <w:r>
        <w:rPr>
          <w:rFonts w:hint="eastAsia" w:ascii="仿宋_GB2312" w:hAnsi="仿宋_GB2312" w:eastAsia="仿宋_GB2312" w:cs="仿宋_GB2312"/>
          <w:color w:val="auto"/>
          <w:sz w:val="32"/>
          <w:szCs w:val="32"/>
          <w:highlight w:val="none"/>
          <w:lang w:val="en-US" w:eastAsia="zh-CN" w:bidi="ar-SA"/>
        </w:rPr>
        <w:t>月</w:t>
      </w:r>
      <w:r>
        <w:rPr>
          <w:rFonts w:hint="eastAsia" w:ascii="仿宋_GB2312" w:hAnsi="仿宋_GB2312" w:eastAsia="仿宋_GB2312" w:cs="仿宋_GB2312"/>
          <w:color w:val="auto"/>
          <w:sz w:val="32"/>
          <w:szCs w:val="24"/>
          <w:highlight w:val="none"/>
          <w:lang w:val="en-US" w:eastAsia="zh-CN" w:bidi="ar-SA"/>
        </w:rPr>
        <w:t>21</w:t>
      </w:r>
      <w:r>
        <w:rPr>
          <w:rFonts w:hint="eastAsia" w:ascii="仿宋_GB2312" w:hAnsi="仿宋_GB2312" w:eastAsia="仿宋_GB2312" w:cs="仿宋_GB2312"/>
          <w:color w:val="auto"/>
          <w:sz w:val="32"/>
          <w:szCs w:val="32"/>
          <w:highlight w:val="none"/>
          <w:lang w:val="en-US" w:eastAsia="zh-CN" w:bidi="ar-SA"/>
        </w:rPr>
        <w:t>日-</w:t>
      </w:r>
      <w:r>
        <w:rPr>
          <w:rFonts w:hint="eastAsia" w:ascii="仿宋_GB2312" w:hAnsi="仿宋_GB2312" w:eastAsia="仿宋_GB2312" w:cs="仿宋_GB2312"/>
          <w:color w:val="auto"/>
          <w:sz w:val="32"/>
          <w:szCs w:val="24"/>
          <w:highlight w:val="none"/>
          <w:lang w:val="en-US" w:eastAsia="zh-CN" w:bidi="ar-SA"/>
        </w:rPr>
        <w:t>5</w:t>
      </w:r>
      <w:r>
        <w:rPr>
          <w:rFonts w:hint="eastAsia" w:ascii="仿宋_GB2312" w:hAnsi="仿宋_GB2312" w:eastAsia="仿宋_GB2312" w:cs="仿宋_GB2312"/>
          <w:color w:val="auto"/>
          <w:sz w:val="32"/>
          <w:szCs w:val="32"/>
          <w:highlight w:val="none"/>
          <w:lang w:val="en-US" w:eastAsia="zh-CN" w:bidi="ar-SA"/>
        </w:rPr>
        <w:t>月20日，评价组按照绩效评价的原则和规范，对取得的资料进行审查核实，对采集的数据进行分析，按照绩效评价指标评分表逐项进行打分、分析，汇总各方评价结果，综合分析并形成评价结论。</w:t>
      </w:r>
    </w:p>
    <w:p>
      <w:pPr>
        <w:pStyle w:val="29"/>
        <w:tabs>
          <w:tab w:val="left" w:pos="1123"/>
        </w:tabs>
        <w:spacing w:line="560" w:lineRule="exact"/>
        <w:ind w:firstLine="640"/>
        <w:rPr>
          <w:rFonts w:hint="eastAsia" w:ascii="黑体" w:hAnsi="黑体" w:eastAsia="黑体" w:cs="仿宋_GB2312"/>
          <w:color w:val="auto"/>
          <w:sz w:val="32"/>
          <w:szCs w:val="32"/>
          <w:highlight w:val="none"/>
          <w:lang w:val="en-US" w:eastAsia="zh-CN" w:bidi="ar-SA"/>
        </w:rPr>
      </w:pPr>
      <w:r>
        <w:rPr>
          <w:rFonts w:hint="eastAsia" w:ascii="黑体" w:hAnsi="黑体" w:eastAsia="黑体" w:cs="仿宋_GB2312"/>
          <w:color w:val="auto"/>
          <w:sz w:val="32"/>
          <w:szCs w:val="32"/>
          <w:highlight w:val="none"/>
          <w:lang w:val="en-US" w:eastAsia="zh-CN" w:bidi="ar-SA"/>
        </w:rPr>
        <w:t>三、综合评价情况及评价结论</w:t>
      </w:r>
    </w:p>
    <w:p>
      <w:pPr>
        <w:pStyle w:val="29"/>
        <w:tabs>
          <w:tab w:val="left" w:pos="1123"/>
        </w:tabs>
        <w:spacing w:line="560" w:lineRule="exact"/>
        <w:ind w:firstLine="640"/>
        <w:rPr>
          <w:rFonts w:hint="eastAsia" w:ascii="楷体" w:hAnsi="楷体" w:eastAsia="楷体" w:cs="仿宋_GB2312"/>
          <w:b/>
          <w:bCs/>
          <w:color w:val="auto"/>
          <w:sz w:val="32"/>
          <w:szCs w:val="32"/>
          <w:highlight w:val="none"/>
          <w:lang w:val="en-US" w:eastAsia="zh-CN" w:bidi="ar-SA"/>
        </w:rPr>
      </w:pPr>
      <w:r>
        <w:rPr>
          <w:rFonts w:hint="eastAsia" w:ascii="楷体" w:hAnsi="楷体" w:eastAsia="楷体" w:cs="仿宋_GB2312"/>
          <w:b/>
          <w:bCs/>
          <w:color w:val="auto"/>
          <w:sz w:val="32"/>
          <w:szCs w:val="32"/>
          <w:highlight w:val="none"/>
          <w:lang w:val="en-US" w:eastAsia="zh-CN" w:bidi="ar-SA"/>
        </w:rPr>
        <w:t>（一）综合评价情况</w:t>
      </w:r>
    </w:p>
    <w:p>
      <w:pPr>
        <w:pStyle w:val="29"/>
        <w:tabs>
          <w:tab w:val="left" w:pos="1123"/>
        </w:tabs>
        <w:spacing w:line="560" w:lineRule="exact"/>
        <w:ind w:firstLine="640"/>
        <w:rPr>
          <w:rFonts w:hint="eastAsia" w:ascii="仿宋_GB2312" w:hAnsi="Cambria" w:eastAsia="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bidi="ar-SA"/>
        </w:rPr>
        <w:t>本级绩效评价遵循科学规范、公开公正、绩效相关和问题导向的原则、重点评价项目的资金投入与财务管理</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bidi="ar-SA"/>
        </w:rPr>
        <w:t>组织管理、产出与效益效果。在此基础上，以相关的项目数据为基础，综合运用不同的评价方法，结合评价标准和评分规则，2024年城乡义务教育补助经费（学生营养改善计划项目）综合得分为98.61分，</w:t>
      </w:r>
      <w:r>
        <w:rPr>
          <w:rFonts w:hint="eastAsia" w:ascii="仿宋_GB2312" w:hAnsi="Cambria" w:eastAsia="仿宋_GB2312"/>
          <w:color w:val="auto"/>
          <w:sz w:val="32"/>
          <w:szCs w:val="32"/>
          <w:highlight w:val="none"/>
        </w:rPr>
        <w:t>评价结果为优。</w:t>
      </w:r>
    </w:p>
    <w:p>
      <w:pPr>
        <w:pStyle w:val="29"/>
        <w:spacing w:line="560" w:lineRule="exact"/>
        <w:ind w:firstLine="585" w:firstLineChars="182"/>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b/>
          <w:color w:val="auto"/>
          <w:sz w:val="32"/>
          <w:szCs w:val="32"/>
          <w:highlight w:val="none"/>
          <w:lang w:val="zh-CN" w:eastAsia="zh-CN" w:bidi="ar-SA"/>
        </w:rPr>
        <w:t>2024年城乡义务教育补助经费（学生营养改善计划项目）</w:t>
      </w:r>
      <w:r>
        <w:rPr>
          <w:rFonts w:hint="eastAsia" w:ascii="仿宋_GB2312" w:hAnsi="仿宋_GB2312" w:eastAsia="仿宋_GB2312" w:cs="仿宋_GB2312"/>
          <w:b/>
          <w:color w:val="auto"/>
          <w:sz w:val="32"/>
          <w:szCs w:val="32"/>
          <w:highlight w:val="none"/>
          <w:lang w:val="en-US" w:eastAsia="zh-CN" w:bidi="ar-SA"/>
        </w:rPr>
        <w:t>评价得分情况</w:t>
      </w:r>
    </w:p>
    <w:tbl>
      <w:tblPr>
        <w:tblStyle w:val="12"/>
        <w:tblW w:w="9309" w:type="dxa"/>
        <w:jc w:val="center"/>
        <w:tblInd w:w="0" w:type="dxa"/>
        <w:tblLayout w:type="fixed"/>
        <w:tblCellMar>
          <w:top w:w="0" w:type="dxa"/>
          <w:left w:w="10" w:type="dxa"/>
          <w:bottom w:w="0" w:type="dxa"/>
          <w:right w:w="10" w:type="dxa"/>
        </w:tblCellMar>
      </w:tblPr>
      <w:tblGrid>
        <w:gridCol w:w="1447"/>
        <w:gridCol w:w="2045"/>
        <w:gridCol w:w="1951"/>
        <w:gridCol w:w="3866"/>
      </w:tblGrid>
      <w:tr>
        <w:tblPrEx>
          <w:tblLayout w:type="fixed"/>
          <w:tblCellMar>
            <w:top w:w="0" w:type="dxa"/>
            <w:left w:w="10" w:type="dxa"/>
            <w:bottom w:w="0" w:type="dxa"/>
            <w:right w:w="10" w:type="dxa"/>
          </w:tblCellMar>
        </w:tblPrEx>
        <w:trPr>
          <w:trHeight w:val="749" w:hRule="exact"/>
          <w:jc w:val="center"/>
        </w:trPr>
        <w:tc>
          <w:tcPr>
            <w:tcW w:w="1447" w:type="dxa"/>
            <w:tcBorders>
              <w:top w:val="single" w:color="auto" w:sz="4" w:space="0"/>
              <w:left w:val="single" w:color="auto" w:sz="4" w:space="0"/>
            </w:tcBorders>
            <w:shd w:val="clear" w:color="auto" w:fill="FFFFFF"/>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指标类别</w:t>
            </w:r>
          </w:p>
        </w:tc>
        <w:tc>
          <w:tcPr>
            <w:tcW w:w="2045" w:type="dxa"/>
            <w:tcBorders>
              <w:top w:val="single" w:color="auto" w:sz="4" w:space="0"/>
              <w:left w:val="single" w:color="auto" w:sz="4" w:space="0"/>
            </w:tcBorders>
            <w:shd w:val="clear" w:color="auto" w:fill="FFFFFF"/>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分值</w:t>
            </w:r>
          </w:p>
        </w:tc>
        <w:tc>
          <w:tcPr>
            <w:tcW w:w="1951" w:type="dxa"/>
            <w:tcBorders>
              <w:top w:val="single" w:color="auto" w:sz="4" w:space="0"/>
              <w:left w:val="single" w:color="auto" w:sz="4" w:space="0"/>
            </w:tcBorders>
            <w:shd w:val="clear" w:color="auto" w:fill="FFFFFF"/>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评价得分</w:t>
            </w:r>
          </w:p>
        </w:tc>
        <w:tc>
          <w:tcPr>
            <w:tcW w:w="3866" w:type="dxa"/>
            <w:tcBorders>
              <w:top w:val="single" w:color="auto" w:sz="4" w:space="0"/>
              <w:left w:val="single" w:color="auto" w:sz="4" w:space="0"/>
              <w:right w:val="single" w:color="auto" w:sz="4" w:space="0"/>
            </w:tcBorders>
            <w:shd w:val="clear" w:color="auto" w:fill="FFFFFF"/>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备注</w:t>
            </w:r>
          </w:p>
        </w:tc>
      </w:tr>
      <w:tr>
        <w:tblPrEx>
          <w:tblLayout w:type="fixed"/>
          <w:tblCellMar>
            <w:top w:w="0" w:type="dxa"/>
            <w:left w:w="10" w:type="dxa"/>
            <w:bottom w:w="0" w:type="dxa"/>
            <w:right w:w="10" w:type="dxa"/>
          </w:tblCellMar>
        </w:tblPrEx>
        <w:trPr>
          <w:trHeight w:val="824" w:hRule="exact"/>
          <w:jc w:val="center"/>
        </w:trPr>
        <w:tc>
          <w:tcPr>
            <w:tcW w:w="1447" w:type="dxa"/>
            <w:tcBorders>
              <w:top w:val="single" w:color="auto" w:sz="4" w:space="0"/>
              <w:left w:val="single" w:color="auto" w:sz="4" w:space="0"/>
            </w:tcBorders>
            <w:shd w:val="clear" w:color="auto" w:fill="FFFFFF"/>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决策</w:t>
            </w:r>
          </w:p>
        </w:tc>
        <w:tc>
          <w:tcPr>
            <w:tcW w:w="2045" w:type="dxa"/>
            <w:tcBorders>
              <w:top w:val="single" w:color="auto" w:sz="4" w:space="0"/>
              <w:left w:val="single" w:color="auto" w:sz="4" w:space="0"/>
            </w:tcBorders>
            <w:shd w:val="clear" w:color="auto" w:fill="FFFFFF"/>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23</w:t>
            </w:r>
          </w:p>
        </w:tc>
        <w:tc>
          <w:tcPr>
            <w:tcW w:w="1951" w:type="dxa"/>
            <w:tcBorders>
              <w:top w:val="single" w:color="auto" w:sz="4" w:space="0"/>
              <w:left w:val="single" w:color="auto" w:sz="4" w:space="0"/>
            </w:tcBorders>
            <w:shd w:val="clear" w:color="auto" w:fill="FFFFFF"/>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23</w:t>
            </w:r>
          </w:p>
        </w:tc>
        <w:tc>
          <w:tcPr>
            <w:tcW w:w="3866" w:type="dxa"/>
            <w:tcBorders>
              <w:top w:val="single" w:color="auto" w:sz="4" w:space="0"/>
              <w:left w:val="single" w:color="auto" w:sz="4" w:space="0"/>
              <w:right w:val="single" w:color="auto" w:sz="4" w:space="0"/>
            </w:tcBorders>
            <w:shd w:val="clear" w:color="auto" w:fill="FFFFFF"/>
            <w:vAlign w:val="top"/>
          </w:tcPr>
          <w:p>
            <w:pPr>
              <w:pStyle w:val="32"/>
              <w:spacing w:line="560" w:lineRule="exact"/>
              <w:ind w:firstLine="0"/>
              <w:rPr>
                <w:rFonts w:hint="eastAsia" w:ascii="仿宋_GB2312" w:hAnsi="仿宋_GB2312" w:eastAsia="仿宋_GB2312" w:cs="仿宋_GB2312"/>
                <w:color w:val="auto"/>
                <w:sz w:val="32"/>
                <w:szCs w:val="32"/>
                <w:highlight w:val="none"/>
                <w:lang w:val="en-US" w:eastAsia="zh-CN" w:bidi="ar-SA"/>
              </w:rPr>
            </w:pPr>
          </w:p>
        </w:tc>
      </w:tr>
      <w:tr>
        <w:tblPrEx>
          <w:tblLayout w:type="fixed"/>
          <w:tblCellMar>
            <w:top w:w="0" w:type="dxa"/>
            <w:left w:w="10" w:type="dxa"/>
            <w:bottom w:w="0" w:type="dxa"/>
            <w:right w:w="10" w:type="dxa"/>
          </w:tblCellMar>
        </w:tblPrEx>
        <w:trPr>
          <w:trHeight w:val="835" w:hRule="exact"/>
          <w:jc w:val="center"/>
        </w:trPr>
        <w:tc>
          <w:tcPr>
            <w:tcW w:w="1447" w:type="dxa"/>
            <w:tcBorders>
              <w:top w:val="single" w:color="auto" w:sz="4" w:space="0"/>
              <w:left w:val="single" w:color="auto" w:sz="4" w:space="0"/>
            </w:tcBorders>
            <w:shd w:val="clear" w:color="auto" w:fill="FFFFFF"/>
            <w:vAlign w:val="center"/>
          </w:tcPr>
          <w:p>
            <w:pPr>
              <w:pStyle w:val="32"/>
              <w:spacing w:line="560" w:lineRule="exact"/>
              <w:ind w:firstLine="380"/>
              <w:jc w:val="left"/>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过程</w:t>
            </w:r>
          </w:p>
        </w:tc>
        <w:tc>
          <w:tcPr>
            <w:tcW w:w="2045" w:type="dxa"/>
            <w:tcBorders>
              <w:top w:val="single" w:color="auto" w:sz="4" w:space="0"/>
              <w:left w:val="single" w:color="auto" w:sz="4" w:space="0"/>
            </w:tcBorders>
            <w:shd w:val="clear" w:color="auto" w:fill="FFFFFF"/>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17</w:t>
            </w:r>
          </w:p>
        </w:tc>
        <w:tc>
          <w:tcPr>
            <w:tcW w:w="1951" w:type="dxa"/>
            <w:tcBorders>
              <w:top w:val="single" w:color="auto" w:sz="4" w:space="0"/>
              <w:left w:val="single" w:color="auto" w:sz="4" w:space="0"/>
            </w:tcBorders>
            <w:shd w:val="clear" w:color="auto" w:fill="FFFFFF"/>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16.08</w:t>
            </w:r>
          </w:p>
        </w:tc>
        <w:tc>
          <w:tcPr>
            <w:tcW w:w="3866" w:type="dxa"/>
            <w:tcBorders>
              <w:top w:val="single" w:color="auto" w:sz="4" w:space="0"/>
              <w:left w:val="single" w:color="auto" w:sz="4" w:space="0"/>
              <w:right w:val="single" w:color="auto" w:sz="4" w:space="0"/>
            </w:tcBorders>
            <w:shd w:val="clear" w:color="auto" w:fill="FFFFFF"/>
            <w:vAlign w:val="bottom"/>
          </w:tcPr>
          <w:p>
            <w:pPr>
              <w:pStyle w:val="32"/>
              <w:spacing w:line="560" w:lineRule="exact"/>
              <w:ind w:firstLine="0"/>
              <w:jc w:val="left"/>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预算执行率81.68%</w:t>
            </w:r>
          </w:p>
        </w:tc>
      </w:tr>
      <w:tr>
        <w:tblPrEx>
          <w:tblLayout w:type="fixed"/>
          <w:tblCellMar>
            <w:top w:w="0" w:type="dxa"/>
            <w:left w:w="10" w:type="dxa"/>
            <w:bottom w:w="0" w:type="dxa"/>
            <w:right w:w="10" w:type="dxa"/>
          </w:tblCellMar>
        </w:tblPrEx>
        <w:trPr>
          <w:trHeight w:val="857" w:hRule="exact"/>
          <w:jc w:val="center"/>
        </w:trPr>
        <w:tc>
          <w:tcPr>
            <w:tcW w:w="1447" w:type="dxa"/>
            <w:tcBorders>
              <w:top w:val="single" w:color="auto" w:sz="4" w:space="0"/>
              <w:left w:val="single" w:color="auto" w:sz="4" w:space="0"/>
            </w:tcBorders>
            <w:shd w:val="clear" w:color="auto" w:fill="FFFFFF"/>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产出</w:t>
            </w:r>
          </w:p>
        </w:tc>
        <w:tc>
          <w:tcPr>
            <w:tcW w:w="2045" w:type="dxa"/>
            <w:tcBorders>
              <w:top w:val="single" w:color="auto" w:sz="4" w:space="0"/>
              <w:left w:val="single" w:color="auto" w:sz="4" w:space="0"/>
            </w:tcBorders>
            <w:shd w:val="clear" w:color="auto" w:fill="FFFFFF"/>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1951" w:type="dxa"/>
            <w:tcBorders>
              <w:top w:val="single" w:color="auto" w:sz="4" w:space="0"/>
              <w:left w:val="single" w:color="auto" w:sz="4" w:space="0"/>
            </w:tcBorders>
            <w:shd w:val="clear" w:color="auto" w:fill="FFFFFF"/>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29.53</w:t>
            </w:r>
          </w:p>
        </w:tc>
        <w:tc>
          <w:tcPr>
            <w:tcW w:w="3866" w:type="dxa"/>
            <w:tcBorders>
              <w:top w:val="single" w:color="auto" w:sz="4" w:space="0"/>
              <w:left w:val="single" w:color="auto" w:sz="4" w:space="0"/>
              <w:right w:val="single" w:color="auto" w:sz="4" w:space="0"/>
            </w:tcBorders>
            <w:shd w:val="clear" w:color="auto" w:fill="FFFFFF"/>
            <w:vAlign w:val="center"/>
          </w:tcPr>
          <w:p>
            <w:pPr>
              <w:pStyle w:val="32"/>
              <w:spacing w:line="560" w:lineRule="exact"/>
              <w:ind w:firstLine="0"/>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成本预算控制率81.68%</w:t>
            </w:r>
          </w:p>
        </w:tc>
      </w:tr>
      <w:tr>
        <w:tblPrEx>
          <w:tblLayout w:type="fixed"/>
          <w:tblCellMar>
            <w:top w:w="0" w:type="dxa"/>
            <w:left w:w="10" w:type="dxa"/>
            <w:bottom w:w="0" w:type="dxa"/>
            <w:right w:w="10" w:type="dxa"/>
          </w:tblCellMar>
        </w:tblPrEx>
        <w:trPr>
          <w:trHeight w:val="763" w:hRule="exact"/>
          <w:jc w:val="center"/>
        </w:trPr>
        <w:tc>
          <w:tcPr>
            <w:tcW w:w="1447" w:type="dxa"/>
            <w:tcBorders>
              <w:top w:val="single" w:color="auto" w:sz="4" w:space="0"/>
              <w:left w:val="single" w:color="auto" w:sz="4" w:space="0"/>
              <w:bottom w:val="single" w:color="auto" w:sz="4" w:space="0"/>
            </w:tcBorders>
            <w:shd w:val="clear" w:color="auto" w:fill="FFFFFF"/>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效益</w:t>
            </w:r>
          </w:p>
        </w:tc>
        <w:tc>
          <w:tcPr>
            <w:tcW w:w="2045" w:type="dxa"/>
            <w:tcBorders>
              <w:top w:val="single" w:color="auto" w:sz="4" w:space="0"/>
              <w:left w:val="single" w:color="auto" w:sz="4" w:space="0"/>
              <w:bottom w:val="single" w:color="auto" w:sz="4" w:space="0"/>
            </w:tcBorders>
            <w:shd w:val="clear" w:color="auto" w:fill="FFFFFF"/>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1951" w:type="dxa"/>
            <w:tcBorders>
              <w:top w:val="single" w:color="auto" w:sz="4" w:space="0"/>
              <w:left w:val="single" w:color="auto" w:sz="4" w:space="0"/>
              <w:bottom w:val="single" w:color="auto" w:sz="4" w:space="0"/>
            </w:tcBorders>
            <w:shd w:val="clear" w:color="auto" w:fill="FFFFFF"/>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3866" w:type="dxa"/>
            <w:tcBorders>
              <w:top w:val="single" w:color="auto" w:sz="4" w:space="0"/>
              <w:left w:val="single" w:color="auto" w:sz="4" w:space="0"/>
              <w:bottom w:val="single" w:color="auto" w:sz="4" w:space="0"/>
              <w:right w:val="single" w:color="auto" w:sz="4" w:space="0"/>
            </w:tcBorders>
            <w:shd w:val="clear" w:color="auto" w:fill="FFFFFF"/>
            <w:vAlign w:val="top"/>
          </w:tcPr>
          <w:p>
            <w:pPr>
              <w:spacing w:line="560" w:lineRule="exact"/>
              <w:rPr>
                <w:rFonts w:hint="eastAsia" w:ascii="仿宋_GB2312" w:hAnsi="仿宋_GB2312" w:cs="仿宋_GB2312"/>
                <w:color w:val="auto"/>
                <w:sz w:val="32"/>
                <w:szCs w:val="32"/>
                <w:highlight w:val="none"/>
              </w:rPr>
            </w:pPr>
          </w:p>
        </w:tc>
      </w:tr>
      <w:tr>
        <w:tblPrEx>
          <w:tblLayout w:type="fixed"/>
          <w:tblCellMar>
            <w:top w:w="0" w:type="dxa"/>
            <w:left w:w="10" w:type="dxa"/>
            <w:bottom w:w="0" w:type="dxa"/>
            <w:right w:w="10" w:type="dxa"/>
          </w:tblCellMar>
        </w:tblPrEx>
        <w:trPr>
          <w:trHeight w:val="763" w:hRule="exact"/>
          <w:jc w:val="center"/>
        </w:trPr>
        <w:tc>
          <w:tcPr>
            <w:tcW w:w="1447" w:type="dxa"/>
            <w:tcBorders>
              <w:top w:val="single" w:color="auto" w:sz="4" w:space="0"/>
              <w:left w:val="single" w:color="auto" w:sz="4" w:space="0"/>
              <w:bottom w:val="single" w:color="auto" w:sz="4" w:space="0"/>
            </w:tcBorders>
            <w:shd w:val="clear" w:color="auto" w:fill="FFFFFF"/>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合计</w:t>
            </w:r>
          </w:p>
        </w:tc>
        <w:tc>
          <w:tcPr>
            <w:tcW w:w="2045" w:type="dxa"/>
            <w:tcBorders>
              <w:top w:val="single" w:color="auto" w:sz="4" w:space="0"/>
              <w:left w:val="single" w:color="auto" w:sz="4" w:space="0"/>
              <w:bottom w:val="single" w:color="auto" w:sz="4" w:space="0"/>
            </w:tcBorders>
            <w:shd w:val="clear" w:color="auto" w:fill="FFFFFF"/>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100</w:t>
            </w:r>
          </w:p>
        </w:tc>
        <w:tc>
          <w:tcPr>
            <w:tcW w:w="1951" w:type="dxa"/>
            <w:tcBorders>
              <w:top w:val="single" w:color="auto" w:sz="4" w:space="0"/>
              <w:left w:val="single" w:color="auto" w:sz="4" w:space="0"/>
              <w:bottom w:val="single" w:color="auto" w:sz="4" w:space="0"/>
            </w:tcBorders>
            <w:shd w:val="clear" w:color="auto" w:fill="FFFFFF"/>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98.61</w:t>
            </w:r>
          </w:p>
        </w:tc>
        <w:tc>
          <w:tcPr>
            <w:tcW w:w="3866" w:type="dxa"/>
            <w:tcBorders>
              <w:top w:val="single" w:color="auto" w:sz="4" w:space="0"/>
              <w:left w:val="single" w:color="auto" w:sz="4" w:space="0"/>
              <w:bottom w:val="single" w:color="auto" w:sz="4" w:space="0"/>
              <w:right w:val="single" w:color="auto" w:sz="4" w:space="0"/>
            </w:tcBorders>
            <w:shd w:val="clear" w:color="auto" w:fill="FFFFFF"/>
            <w:vAlign w:val="top"/>
          </w:tcPr>
          <w:p>
            <w:pPr>
              <w:spacing w:line="560" w:lineRule="exact"/>
              <w:rPr>
                <w:rFonts w:hint="eastAsia" w:ascii="仿宋_GB2312" w:hAnsi="仿宋_GB2312" w:cs="仿宋_GB2312"/>
                <w:color w:val="auto"/>
                <w:sz w:val="32"/>
                <w:szCs w:val="32"/>
                <w:highlight w:val="none"/>
              </w:rPr>
            </w:pPr>
          </w:p>
        </w:tc>
      </w:tr>
    </w:tbl>
    <w:p>
      <w:pPr>
        <w:snapToGrid w:val="0"/>
        <w:spacing w:line="560" w:lineRule="exact"/>
        <w:ind w:firstLine="482" w:firstLineChars="150"/>
        <w:jc w:val="left"/>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（二）评价结论</w:t>
      </w:r>
    </w:p>
    <w:p>
      <w:pPr>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2024年城乡义务教育补助经费（学生营养改善计划项目）</w:t>
      </w:r>
      <w:r>
        <w:rPr>
          <w:rFonts w:hint="eastAsia" w:ascii="仿宋_GB2312" w:hAnsi="仿宋_GB2312" w:cs="仿宋_GB2312"/>
          <w:color w:val="auto"/>
          <w:sz w:val="32"/>
          <w:szCs w:val="32"/>
          <w:highlight w:val="none"/>
        </w:rPr>
        <w:t>资金达到了年初设立的绩效目标，在实施过程中取得了良好的成效，具体表现在以下几点：</w:t>
      </w:r>
    </w:p>
    <w:p>
      <w:pPr>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本项目根据</w:t>
      </w:r>
      <w:r>
        <w:rPr>
          <w:rFonts w:hint="eastAsia" w:ascii="仿宋_GB2312" w:hAnsi="仿宋_GB2312" w:cs="仿宋_GB2312"/>
          <w:color w:val="auto"/>
          <w:sz w:val="32"/>
          <w:szCs w:val="32"/>
          <w:highlight w:val="none"/>
        </w:rPr>
        <w:t>《关于提前下达2024年城乡义务教育补助经费预算（中央直达资金）的通知》克财教【2023】52号、《关于下达2024年城乡义务教育补助经费预算第二批（中央直达资金）的通知》克财教【2024】17号文件的资金支持及相关政策要求，2024年全面落实农村义务教育学生营养改善计划，分配17个预算单位（72所农村中小学），享受营养膳食学生人数41288名；通过实施本项目，有效提高学生的身体素质和学习积极性，减轻农村学生家庭负担，提升义务教育的巩固率和教育教学质量，为当地教育事业的长远发展奠定坚实基础。</w:t>
      </w:r>
    </w:p>
    <w:p>
      <w:pPr>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2024年城乡义务教育补助经费（学生营养改善计划项目）支出共计3260.88万元，评价得分值98.61分。</w:t>
      </w:r>
    </w:p>
    <w:p>
      <w:pPr>
        <w:snapToGrid w:val="0"/>
        <w:spacing w:line="560" w:lineRule="exact"/>
        <w:ind w:firstLine="640" w:firstLineChars="200"/>
        <w:rPr>
          <w:rFonts w:hint="eastAsia" w:ascii="黑体" w:hAnsi="黑体" w:eastAsia="黑体" w:cs="仿宋_GB2312"/>
          <w:color w:val="auto"/>
          <w:sz w:val="32"/>
          <w:szCs w:val="32"/>
          <w:highlight w:val="none"/>
        </w:rPr>
      </w:pPr>
      <w:r>
        <w:rPr>
          <w:rFonts w:hint="eastAsia" w:ascii="黑体" w:hAnsi="黑体" w:eastAsia="黑体" w:cs="仿宋_GB2312"/>
          <w:color w:val="auto"/>
          <w:sz w:val="32"/>
          <w:szCs w:val="32"/>
          <w:highlight w:val="none"/>
        </w:rPr>
        <w:t>四、绩效评价指标分析</w:t>
      </w:r>
    </w:p>
    <w:p>
      <w:pPr>
        <w:snapToGrid w:val="0"/>
        <w:spacing w:line="560" w:lineRule="exact"/>
        <w:ind w:firstLine="643" w:firstLineChars="200"/>
        <w:outlineLvl w:val="0"/>
        <w:rPr>
          <w:rFonts w:hint="eastAsia" w:ascii="楷体" w:hAnsi="楷体" w:eastAsia="楷体" w:cs="仿宋_GB2312"/>
          <w:b/>
          <w:bCs/>
          <w:color w:val="auto"/>
          <w:sz w:val="32"/>
          <w:szCs w:val="32"/>
          <w:highlight w:val="none"/>
        </w:rPr>
      </w:pPr>
      <w:r>
        <w:rPr>
          <w:rFonts w:hint="eastAsia" w:ascii="楷体" w:hAnsi="楷体" w:eastAsia="楷体" w:cs="仿宋_GB2312"/>
          <w:b/>
          <w:bCs/>
          <w:color w:val="auto"/>
          <w:sz w:val="32"/>
          <w:szCs w:val="32"/>
          <w:highlight w:val="none"/>
        </w:rPr>
        <w:t>（一）项目决策情况。</w:t>
      </w:r>
    </w:p>
    <w:p>
      <w:pPr>
        <w:pStyle w:val="25"/>
        <w:spacing w:line="560" w:lineRule="exact"/>
        <w:ind w:firstLine="640"/>
        <w:rPr>
          <w:rFonts w:hint="eastAsia" w:ascii="仿宋_GB2312" w:hAnsi="仿宋" w:cs="宋体"/>
          <w:color w:val="auto"/>
          <w:sz w:val="32"/>
          <w:szCs w:val="32"/>
          <w:highlight w:val="none"/>
        </w:rPr>
      </w:pPr>
      <w:r>
        <w:rPr>
          <w:rFonts w:hint="eastAsia" w:ascii="仿宋_GB2312" w:hAnsi="仿宋" w:cs="宋体"/>
          <w:color w:val="auto"/>
          <w:sz w:val="32"/>
          <w:szCs w:val="32"/>
          <w:highlight w:val="none"/>
        </w:rPr>
        <w:t>本项目的立项符合相关法规政策及部门职责，依据充分；项目</w:t>
      </w:r>
      <w:r>
        <w:rPr>
          <w:rFonts w:hint="eastAsia" w:ascii="仿宋_GB2312" w:hAnsi="仿宋" w:cs="宋体"/>
          <w:color w:val="auto"/>
          <w:sz w:val="32"/>
          <w:szCs w:val="32"/>
          <w:highlight w:val="none"/>
          <w:lang w:val="en-US" w:eastAsia="zh-CN"/>
        </w:rPr>
        <w:t>严格</w:t>
      </w:r>
      <w:r>
        <w:rPr>
          <w:rFonts w:hint="eastAsia" w:ascii="仿宋_GB2312" w:hAnsi="仿宋" w:cs="宋体"/>
          <w:color w:val="auto"/>
          <w:sz w:val="32"/>
          <w:szCs w:val="32"/>
          <w:highlight w:val="none"/>
        </w:rPr>
        <w:t>按照规定的程序申请设立；审批文件、材料符合相关要求；项目前期已经过必要的可行性研究、专家论证、风险评估、绩效评估、集体决策。</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 w:cs="宋体"/>
          <w:color w:val="auto"/>
          <w:sz w:val="32"/>
          <w:szCs w:val="32"/>
          <w:highlight w:val="none"/>
        </w:rPr>
      </w:pPr>
      <w:r>
        <w:rPr>
          <w:rFonts w:hint="eastAsia" w:ascii="仿宋_GB2312" w:hAnsi="仿宋" w:cs="宋体"/>
          <w:color w:val="auto"/>
          <w:sz w:val="32"/>
          <w:szCs w:val="32"/>
          <w:highlight w:val="none"/>
        </w:rPr>
        <w:t>项目根据相关文件要求设置了绩效目标，项目绩效目标基本合理，</w:t>
      </w:r>
      <w:r>
        <w:rPr>
          <w:rFonts w:hint="eastAsia" w:ascii="仿宋_GB2312" w:hAnsi="仿宋" w:cs="宋体"/>
          <w:color w:val="auto"/>
          <w:sz w:val="32"/>
          <w:szCs w:val="32"/>
          <w:highlight w:val="none"/>
          <w:lang w:val="en-US" w:eastAsia="zh-CN"/>
        </w:rPr>
        <w:t>绩效目标</w:t>
      </w:r>
      <w:r>
        <w:rPr>
          <w:rFonts w:hint="eastAsia" w:ascii="仿宋_GB2312" w:hAnsi="仿宋" w:cs="宋体"/>
          <w:color w:val="auto"/>
          <w:sz w:val="32"/>
          <w:szCs w:val="32"/>
          <w:highlight w:val="none"/>
        </w:rPr>
        <w:t>与实际工作内容相关；项目预期产出效益和效果符合正常的业绩水平；</w:t>
      </w:r>
      <w:r>
        <w:rPr>
          <w:rFonts w:hint="eastAsia" w:ascii="仿宋_GB2312" w:hAnsi="仿宋" w:cs="宋体"/>
          <w:color w:val="auto"/>
          <w:sz w:val="32"/>
          <w:szCs w:val="32"/>
          <w:highlight w:val="none"/>
          <w:lang w:val="en-US" w:eastAsia="zh-CN"/>
        </w:rPr>
        <w:t>目标设置</w:t>
      </w:r>
      <w:r>
        <w:rPr>
          <w:rFonts w:hint="eastAsia" w:ascii="仿宋_GB2312" w:hAnsi="仿宋" w:cs="宋体"/>
          <w:color w:val="auto"/>
          <w:sz w:val="32"/>
          <w:szCs w:val="32"/>
          <w:highlight w:val="none"/>
        </w:rPr>
        <w:t>与预算确定的项目投资额或资金量相匹配。</w:t>
      </w:r>
      <w:r>
        <w:rPr>
          <w:rFonts w:hint="eastAsia" w:ascii="仿宋_GB2312" w:hAnsi="仿宋" w:cs="宋体"/>
          <w:color w:val="auto"/>
          <w:sz w:val="32"/>
          <w:szCs w:val="32"/>
          <w:highlight w:val="none"/>
          <w:lang w:val="en-US" w:eastAsia="zh-CN"/>
        </w:rPr>
        <w:t>严格按照要求</w:t>
      </w:r>
      <w:r>
        <w:rPr>
          <w:rFonts w:hint="eastAsia" w:ascii="仿宋_GB2312" w:hAnsi="仿宋" w:cs="宋体"/>
          <w:color w:val="auto"/>
          <w:sz w:val="32"/>
          <w:szCs w:val="32"/>
          <w:highlight w:val="none"/>
        </w:rPr>
        <w:t>将项目绩效目标细化分解为具体的绩效指标</w:t>
      </w:r>
      <w:r>
        <w:rPr>
          <w:rFonts w:hint="eastAsia" w:ascii="仿宋_GB2312" w:hAnsi="仿宋" w:cs="宋体"/>
          <w:color w:val="auto"/>
          <w:sz w:val="32"/>
          <w:szCs w:val="32"/>
          <w:highlight w:val="none"/>
          <w:lang w:val="en-US" w:eastAsia="zh-CN"/>
        </w:rPr>
        <w:t>并</w:t>
      </w:r>
      <w:r>
        <w:rPr>
          <w:rFonts w:hint="eastAsia" w:ascii="仿宋_GB2312" w:hAnsi="仿宋" w:cs="宋体"/>
          <w:color w:val="auto"/>
          <w:sz w:val="32"/>
          <w:szCs w:val="32"/>
          <w:highlight w:val="none"/>
        </w:rPr>
        <w:t>通过清晰、可衡量的指标值予以体现；与项目目标任务数或计划数相对应。</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eastAsia="zh-CN"/>
        </w:rPr>
      </w:pPr>
      <w:r>
        <w:rPr>
          <w:rFonts w:hint="eastAsia" w:ascii="仿宋_GB2312" w:hAnsi="仿宋" w:cs="宋体"/>
          <w:color w:val="auto"/>
          <w:sz w:val="32"/>
          <w:szCs w:val="32"/>
          <w:highlight w:val="none"/>
        </w:rPr>
        <w:t>项目在资金投入方面，预算编制经过科学论证、有明确标准，资金额度与年度目标相适应，用以反映和考核项目预算编制的科学性、合理性情况。项目预算资金分配有测算依据，与补助单位或地方实际相适应</w:t>
      </w:r>
      <w:r>
        <w:rPr>
          <w:rFonts w:hint="eastAsia" w:ascii="仿宋_GB2312" w:hAnsi="仿宋" w:cs="宋体"/>
          <w:color w:val="auto"/>
          <w:sz w:val="32"/>
          <w:szCs w:val="32"/>
          <w:highlight w:val="none"/>
          <w:lang w:eastAsia="zh-CN"/>
        </w:rPr>
        <w:t>。</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textAlignment w:val="auto"/>
        <w:rPr>
          <w:rFonts w:hint="eastAsia" w:ascii="楷体" w:hAnsi="楷体" w:eastAsia="楷体" w:cs="仿宋_GB2312"/>
          <w:b/>
          <w:bCs/>
          <w:color w:val="auto"/>
          <w:sz w:val="32"/>
          <w:szCs w:val="32"/>
          <w:highlight w:val="none"/>
        </w:rPr>
      </w:pPr>
      <w:r>
        <w:rPr>
          <w:rFonts w:hint="eastAsia" w:ascii="楷体" w:hAnsi="楷体" w:eastAsia="楷体" w:cs="仿宋_GB2312"/>
          <w:b/>
          <w:bCs/>
          <w:color w:val="auto"/>
          <w:sz w:val="32"/>
          <w:szCs w:val="32"/>
          <w:highlight w:val="none"/>
        </w:rPr>
        <w:t>（二）项目过程情况。</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textAlignment w:val="auto"/>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1．资金管理</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textAlignment w:val="auto"/>
        <w:rPr>
          <w:rFonts w:hint="eastAsia" w:ascii="仿宋_GB2312" w:hAnsi="仿宋_GB2312" w:cs="仿宋_GB2312"/>
          <w:color w:val="auto"/>
          <w:sz w:val="32"/>
          <w:szCs w:val="32"/>
          <w:highlight w:val="none"/>
        </w:rPr>
      </w:pPr>
      <w:r>
        <w:rPr>
          <w:rFonts w:hint="eastAsia" w:ascii="仿宋_GB2312" w:hAnsi="仿宋" w:cs="宋体"/>
          <w:color w:val="auto"/>
          <w:sz w:val="32"/>
          <w:szCs w:val="32"/>
          <w:highlight w:val="none"/>
        </w:rPr>
        <w:t>在资金管理方面，项目资金到位足额及时，</w:t>
      </w:r>
      <w:r>
        <w:rPr>
          <w:rFonts w:hint="eastAsia" w:ascii="仿宋_GB2312" w:hAnsi="仿宋" w:cs="宋体"/>
          <w:color w:val="auto"/>
          <w:sz w:val="32"/>
          <w:szCs w:val="32"/>
          <w:highlight w:val="none"/>
          <w:lang w:val="en-US" w:eastAsia="zh-CN"/>
        </w:rPr>
        <w:t>并</w:t>
      </w:r>
      <w:r>
        <w:rPr>
          <w:rFonts w:hint="eastAsia" w:ascii="仿宋_GB2312" w:hAnsi="仿宋" w:cs="宋体"/>
          <w:color w:val="auto"/>
          <w:sz w:val="32"/>
          <w:szCs w:val="32"/>
          <w:highlight w:val="none"/>
        </w:rPr>
        <w:t>及时支付，资金使用符合国家法规和财务管理制度；资金拨付有完整的审批程序和手续，符合项目预算批复或合同规定的用途；</w:t>
      </w:r>
      <w:r>
        <w:rPr>
          <w:rFonts w:hint="eastAsia" w:ascii="仿宋_GB2312" w:hAnsi="仿宋" w:cs="宋体"/>
          <w:color w:val="auto"/>
          <w:sz w:val="32"/>
          <w:szCs w:val="32"/>
          <w:highlight w:val="none"/>
          <w:lang w:val="en-US" w:eastAsia="zh-CN"/>
        </w:rPr>
        <w:t>不</w:t>
      </w:r>
      <w:r>
        <w:rPr>
          <w:rFonts w:hint="eastAsia" w:ascii="仿宋_GB2312" w:hAnsi="仿宋" w:cs="宋体"/>
          <w:color w:val="auto"/>
          <w:sz w:val="32"/>
          <w:szCs w:val="32"/>
          <w:highlight w:val="none"/>
        </w:rPr>
        <w:t>存在截留、挤占、挪用、虚列支出等情况。</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textAlignment w:val="auto"/>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2．项目实施</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textAlignment w:val="auto"/>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（1）项目管理制度建设方面</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textAlignment w:val="auto"/>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对项目申请进行严格审核、筛选。根据拟申请预算项目，从相关性、预期绩效的可实现性、实施方案的有效性、预期绩效的可持续性及财政资金投入的可行性风险五个方面进行客观、公正的评估。</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评估结果作为申报</w:t>
      </w:r>
      <w:r>
        <w:rPr>
          <w:rFonts w:hint="eastAsia" w:ascii="仿宋_GB2312" w:hAnsi="仿宋_GB2312" w:cs="仿宋_GB2312"/>
          <w:color w:val="auto"/>
          <w:sz w:val="32"/>
          <w:szCs w:val="32"/>
          <w:highlight w:val="none"/>
          <w:lang w:eastAsia="zh-CN"/>
        </w:rPr>
        <w:t>202</w:t>
      </w:r>
      <w:r>
        <w:rPr>
          <w:rFonts w:hint="eastAsia" w:ascii="仿宋_GB2312" w:hAnsi="仿宋_GB2312" w:cs="仿宋_GB2312"/>
          <w:color w:val="auto"/>
          <w:sz w:val="32"/>
          <w:szCs w:val="32"/>
          <w:highlight w:val="none"/>
          <w:lang w:val="en-US" w:eastAsia="zh-CN"/>
        </w:rPr>
        <w:t>5年</w:t>
      </w:r>
      <w:r>
        <w:rPr>
          <w:rFonts w:hint="eastAsia" w:ascii="仿宋_GB2312" w:hAnsi="仿宋_GB2312" w:cs="仿宋_GB2312"/>
          <w:color w:val="auto"/>
          <w:sz w:val="32"/>
          <w:szCs w:val="32"/>
          <w:highlight w:val="none"/>
        </w:rPr>
        <w:t>城乡义务教育补助经费（学生营养改善计划项目）预算依据</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rPr>
        <w:t>继而进行该项目支出预算的编制、执行和上报等工作。在项目预算的编制工程中，坚持履行政府职能方面的轻重缓急程度进行先后排序，坚持对2024年城乡义务教育补助经费（学生营养改善计划项目）先进行论证，结合论证情况编制预算，最后由预算部门结合财力情况进行预算安排或追加。</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（2）日常检查监督管理方面</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完善监管规章制度。在项目预算的执行过程中，会同</w:t>
      </w:r>
      <w:r>
        <w:rPr>
          <w:rFonts w:hint="eastAsia" w:ascii="仿宋_GB2312" w:hAnsi="仿宋_GB2312" w:cs="仿宋_GB2312"/>
          <w:color w:val="auto"/>
          <w:sz w:val="32"/>
          <w:szCs w:val="32"/>
          <w:highlight w:val="none"/>
          <w:lang w:val="en-US" w:eastAsia="zh-CN"/>
        </w:rPr>
        <w:t>阿图什市</w:t>
      </w:r>
      <w:r>
        <w:rPr>
          <w:rFonts w:hint="eastAsia" w:ascii="仿宋_GB2312" w:hAnsi="仿宋_GB2312" w:cs="仿宋_GB2312"/>
          <w:color w:val="auto"/>
          <w:sz w:val="32"/>
          <w:szCs w:val="32"/>
          <w:highlight w:val="none"/>
        </w:rPr>
        <w:t>财政局从资金申请、资金使用、会计核算三个环节加强资金管理。在项目资金申请环节，负责科室严格按照国库集中支付流程向市财政局申请财政资金，我局通过召开党组会议确定2024年城乡义务教育补助经费（学生营养改善计划项目）组织形式，明确了该项目经费的开支范围为学生营养改善</w:t>
      </w:r>
      <w:r>
        <w:rPr>
          <w:rFonts w:hint="eastAsia" w:ascii="仿宋_GB2312" w:hAnsi="仿宋_GB2312" w:cs="仿宋_GB2312"/>
          <w:color w:val="auto"/>
          <w:sz w:val="32"/>
          <w:szCs w:val="32"/>
          <w:highlight w:val="none"/>
          <w:lang w:val="en-US" w:eastAsia="zh-CN"/>
        </w:rPr>
        <w:t>补助</w:t>
      </w:r>
      <w:r>
        <w:rPr>
          <w:rFonts w:hint="eastAsia" w:ascii="仿宋_GB2312" w:hAnsi="仿宋_GB2312" w:cs="仿宋_GB2312"/>
          <w:color w:val="auto"/>
          <w:sz w:val="32"/>
          <w:szCs w:val="32"/>
          <w:highlight w:val="none"/>
        </w:rPr>
        <w:t>，严格做到专款专用，责任到人。在资金使用环节，严格遵守相关规定，严格按照我局资金财务审批流程办理款项支付。在会计核算环节，对本项目资金实际单独核算，确保</w:t>
      </w:r>
      <w:r>
        <w:rPr>
          <w:rFonts w:hint="eastAsia" w:ascii="仿宋_GB2312" w:hAnsi="仿宋_GB2312" w:cs="仿宋_GB2312"/>
          <w:color w:val="auto"/>
          <w:sz w:val="32"/>
          <w:szCs w:val="32"/>
          <w:highlight w:val="none"/>
          <w:lang w:val="en-US" w:eastAsia="zh-CN"/>
        </w:rPr>
        <w:t>专项</w:t>
      </w:r>
      <w:r>
        <w:rPr>
          <w:rFonts w:hint="eastAsia" w:ascii="仿宋_GB2312" w:hAnsi="仿宋_GB2312" w:cs="仿宋_GB2312"/>
          <w:color w:val="auto"/>
          <w:sz w:val="32"/>
          <w:szCs w:val="32"/>
          <w:highlight w:val="none"/>
        </w:rPr>
        <w:t>资金专款专用。</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（3）运用财务内控系统实时监管</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年初将财政批复的</w:t>
      </w:r>
      <w:r>
        <w:rPr>
          <w:rFonts w:hint="eastAsia" w:ascii="仿宋_GB2312" w:hAnsi="仿宋_GB2312" w:cs="仿宋_GB2312"/>
          <w:color w:val="auto"/>
          <w:sz w:val="32"/>
          <w:szCs w:val="32"/>
          <w:highlight w:val="none"/>
          <w:lang w:val="en-US" w:eastAsia="zh-CN"/>
        </w:rPr>
        <w:t>专项</w:t>
      </w:r>
      <w:r>
        <w:rPr>
          <w:rFonts w:hint="eastAsia" w:ascii="仿宋_GB2312" w:hAnsi="仿宋_GB2312" w:cs="仿宋_GB2312"/>
          <w:color w:val="auto"/>
          <w:sz w:val="32"/>
          <w:szCs w:val="32"/>
          <w:highlight w:val="none"/>
        </w:rPr>
        <w:t>资金预算指标整体导入，对预算指标按照项目分类，从数量、质量、时效、满意度等方面分别进行管理控制，监控、掌握预算实时信息，通过不定期检查预算执行情况，增强预算指标刚性。</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）依照专项资金管理制度，按照不定期检查与项目周期检查相结合的方式，对</w:t>
      </w:r>
      <w:r>
        <w:rPr>
          <w:rFonts w:hint="eastAsia" w:ascii="仿宋_GB2312" w:hAnsi="仿宋_GB2312" w:cs="仿宋_GB2312"/>
          <w:color w:val="auto"/>
          <w:sz w:val="32"/>
          <w:szCs w:val="32"/>
          <w:highlight w:val="none"/>
          <w:lang w:val="en-US" w:eastAsia="zh-CN"/>
        </w:rPr>
        <w:t>专项</w:t>
      </w:r>
      <w:r>
        <w:rPr>
          <w:rFonts w:hint="eastAsia" w:ascii="仿宋_GB2312" w:hAnsi="仿宋_GB2312" w:cs="仿宋_GB2312"/>
          <w:color w:val="auto"/>
          <w:sz w:val="32"/>
          <w:szCs w:val="32"/>
          <w:highlight w:val="none"/>
        </w:rPr>
        <w:t>资金的使用情况进行监督检查。重点督查专项资金的使用进度，资金落实情况，对发现的问题，采取措施及时纠正、强化管理，确保专项资金安全使用。</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2024年城乡义务教育补助经费（学生营养改善计划项目）</w:t>
      </w:r>
      <w:r>
        <w:rPr>
          <w:rFonts w:hint="eastAsia" w:ascii="仿宋_GB2312" w:hAnsi="仿宋_GB2312" w:cs="仿宋_GB2312"/>
          <w:color w:val="auto"/>
          <w:sz w:val="32"/>
          <w:szCs w:val="32"/>
          <w:highlight w:val="none"/>
        </w:rPr>
        <w:t>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本次评价认为：该项目组织机构设置合理，政策及管理办法基本完善，所有项目均按照流程执行，中期有检查，后期有验收。</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3" w:firstLineChars="200"/>
        <w:rPr>
          <w:rFonts w:hint="eastAsia" w:ascii="楷体" w:hAnsi="楷体" w:eastAsia="楷体" w:cs="仿宋_GB2312"/>
          <w:b/>
          <w:bCs w:val="0"/>
          <w:color w:val="auto"/>
          <w:sz w:val="32"/>
          <w:szCs w:val="32"/>
          <w:highlight w:val="none"/>
        </w:rPr>
      </w:pPr>
      <w:r>
        <w:rPr>
          <w:rFonts w:hint="eastAsia" w:ascii="楷体" w:hAnsi="楷体" w:eastAsia="楷体" w:cs="仿宋_GB2312"/>
          <w:b/>
          <w:bCs w:val="0"/>
          <w:color w:val="auto"/>
          <w:sz w:val="32"/>
          <w:szCs w:val="32"/>
          <w:highlight w:val="none"/>
        </w:rPr>
        <w:t>（三）项目产出情况</w:t>
      </w:r>
    </w:p>
    <w:p>
      <w:pPr>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jc w:val="both"/>
        <w:textAlignment w:val="auto"/>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1．数量指标</w:t>
      </w:r>
    </w:p>
    <w:p>
      <w:pPr>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数量指标为</w:t>
      </w:r>
      <w:r>
        <w:rPr>
          <w:rFonts w:hint="eastAsia" w:ascii="仿宋_GB2312" w:hAnsi="仿宋_GB2312" w:cs="仿宋_GB2312"/>
          <w:color w:val="auto"/>
          <w:sz w:val="32"/>
          <w:szCs w:val="32"/>
          <w:highlight w:val="none"/>
        </w:rPr>
        <w:t>分配补助学校数量（所），预期指标值是</w:t>
      </w:r>
      <w:r>
        <w:rPr>
          <w:rFonts w:hint="eastAsia" w:ascii="仿宋_GB2312" w:hAnsi="仿宋_GB2312" w:cs="仿宋_GB2312"/>
          <w:color w:val="auto"/>
          <w:sz w:val="32"/>
          <w:szCs w:val="32"/>
          <w:highlight w:val="none"/>
          <w:lang w:eastAsia="zh-CN"/>
        </w:rPr>
        <w:t>大于等于</w:t>
      </w:r>
      <w:r>
        <w:rPr>
          <w:rFonts w:hint="eastAsia" w:ascii="仿宋_GB2312" w:hAnsi="仿宋_GB2312" w:cs="仿宋_GB2312"/>
          <w:color w:val="auto"/>
          <w:sz w:val="32"/>
          <w:szCs w:val="32"/>
          <w:highlight w:val="none"/>
        </w:rPr>
        <w:t>72所，实际完成值是</w:t>
      </w:r>
      <w:r>
        <w:rPr>
          <w:rFonts w:hint="eastAsia" w:ascii="仿宋_GB2312" w:hAnsi="仿宋_GB2312" w:cs="仿宋_GB2312"/>
          <w:color w:val="auto"/>
          <w:sz w:val="32"/>
          <w:szCs w:val="32"/>
          <w:highlight w:val="none"/>
          <w:lang w:eastAsia="zh-CN"/>
        </w:rPr>
        <w:t>等于</w:t>
      </w:r>
      <w:r>
        <w:rPr>
          <w:rFonts w:hint="eastAsia" w:ascii="仿宋_GB2312" w:hAnsi="仿宋_GB2312" w:cs="仿宋_GB2312"/>
          <w:color w:val="auto"/>
          <w:sz w:val="32"/>
          <w:szCs w:val="32"/>
          <w:highlight w:val="none"/>
        </w:rPr>
        <w:t>72所，指标达到预期目标。</w:t>
      </w:r>
    </w:p>
    <w:p>
      <w:pPr>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数量指标为</w:t>
      </w:r>
      <w:r>
        <w:rPr>
          <w:rFonts w:hint="eastAsia" w:ascii="仿宋_GB2312" w:hAnsi="仿宋_GB2312" w:cs="仿宋_GB2312"/>
          <w:color w:val="auto"/>
          <w:sz w:val="32"/>
          <w:szCs w:val="32"/>
          <w:highlight w:val="none"/>
        </w:rPr>
        <w:t>享受营养膳食学生人数（名），预期指标值是</w:t>
      </w:r>
      <w:r>
        <w:rPr>
          <w:rFonts w:hint="eastAsia" w:ascii="仿宋_GB2312" w:hAnsi="仿宋_GB2312" w:cs="仿宋_GB2312"/>
          <w:color w:val="auto"/>
          <w:sz w:val="32"/>
          <w:szCs w:val="32"/>
          <w:highlight w:val="none"/>
          <w:lang w:eastAsia="zh-CN"/>
        </w:rPr>
        <w:t>大于等于</w:t>
      </w:r>
      <w:r>
        <w:rPr>
          <w:rFonts w:hint="eastAsia" w:ascii="仿宋_GB2312" w:hAnsi="仿宋_GB2312" w:cs="仿宋_GB2312"/>
          <w:color w:val="auto"/>
          <w:sz w:val="32"/>
          <w:szCs w:val="32"/>
          <w:highlight w:val="none"/>
        </w:rPr>
        <w:t>41288名，实际完成值是</w:t>
      </w:r>
      <w:r>
        <w:rPr>
          <w:rFonts w:hint="eastAsia" w:ascii="仿宋_GB2312" w:hAnsi="仿宋_GB2312" w:cs="仿宋_GB2312"/>
          <w:color w:val="auto"/>
          <w:sz w:val="32"/>
          <w:szCs w:val="32"/>
          <w:highlight w:val="none"/>
          <w:lang w:eastAsia="zh-CN"/>
        </w:rPr>
        <w:t>等于</w:t>
      </w:r>
      <w:r>
        <w:rPr>
          <w:rFonts w:hint="eastAsia" w:ascii="仿宋_GB2312" w:hAnsi="仿宋_GB2312" w:cs="仿宋_GB2312"/>
          <w:color w:val="auto"/>
          <w:sz w:val="32"/>
          <w:szCs w:val="32"/>
          <w:highlight w:val="none"/>
        </w:rPr>
        <w:t>41288名，指标达到预期目标。</w:t>
      </w:r>
    </w:p>
    <w:p>
      <w:pPr>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数量指标为</w:t>
      </w:r>
      <w:r>
        <w:rPr>
          <w:rFonts w:hint="eastAsia" w:ascii="仿宋_GB2312" w:hAnsi="仿宋_GB2312" w:cs="仿宋_GB2312"/>
          <w:color w:val="auto"/>
          <w:sz w:val="32"/>
          <w:szCs w:val="32"/>
          <w:highlight w:val="none"/>
        </w:rPr>
        <w:t>享受营养改善计划政策农村学校学生比例，预期指标值是</w:t>
      </w:r>
      <w:r>
        <w:rPr>
          <w:rFonts w:hint="eastAsia" w:ascii="仿宋_GB2312" w:hAnsi="仿宋_GB2312" w:cs="仿宋_GB2312"/>
          <w:color w:val="auto"/>
          <w:sz w:val="32"/>
          <w:szCs w:val="32"/>
          <w:highlight w:val="none"/>
          <w:lang w:eastAsia="zh-CN"/>
        </w:rPr>
        <w:t>等于</w:t>
      </w:r>
      <w:r>
        <w:rPr>
          <w:rFonts w:hint="eastAsia" w:ascii="仿宋_GB2312" w:hAnsi="仿宋_GB2312" w:cs="仿宋_GB2312"/>
          <w:color w:val="auto"/>
          <w:sz w:val="32"/>
          <w:szCs w:val="32"/>
          <w:highlight w:val="none"/>
        </w:rPr>
        <w:t>100%，实际完成值是</w:t>
      </w:r>
      <w:r>
        <w:rPr>
          <w:rFonts w:hint="eastAsia" w:ascii="仿宋_GB2312" w:hAnsi="仿宋_GB2312" w:cs="仿宋_GB2312"/>
          <w:color w:val="auto"/>
          <w:sz w:val="32"/>
          <w:szCs w:val="32"/>
          <w:highlight w:val="none"/>
          <w:lang w:eastAsia="zh-CN"/>
        </w:rPr>
        <w:t>等于</w:t>
      </w:r>
      <w:r>
        <w:rPr>
          <w:rFonts w:hint="eastAsia" w:ascii="仿宋_GB2312" w:hAnsi="仿宋_GB2312" w:cs="仿宋_GB2312"/>
          <w:color w:val="auto"/>
          <w:sz w:val="32"/>
          <w:szCs w:val="32"/>
          <w:highlight w:val="none"/>
        </w:rPr>
        <w:t>100%，指标达到预期目标。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jc w:val="both"/>
        <w:textAlignment w:val="auto"/>
        <w:rPr>
          <w:rFonts w:hint="eastAsia" w:ascii="仿宋_GB2312"/>
          <w:color w:val="auto"/>
          <w:sz w:val="32"/>
          <w:szCs w:val="32"/>
          <w:highlight w:val="none"/>
        </w:rPr>
      </w:pPr>
      <w:r>
        <w:rPr>
          <w:rFonts w:hint="default" w:ascii="仿宋_GB2312" w:eastAsia="仿宋_GB2312"/>
          <w:b/>
          <w:bCs/>
          <w:color w:val="auto"/>
          <w:kern w:val="2"/>
          <w:sz w:val="32"/>
          <w:szCs w:val="32"/>
          <w:highlight w:val="none"/>
          <w:lang w:val="en-US" w:eastAsia="zh-CN" w:bidi="ar-SA"/>
        </w:rPr>
        <w:t>2．</w:t>
      </w:r>
      <w:r>
        <w:rPr>
          <w:rFonts w:hint="eastAsia" w:ascii="仿宋_GB2312"/>
          <w:b/>
          <w:bCs w:val="0"/>
          <w:color w:val="auto"/>
          <w:sz w:val="32"/>
          <w:szCs w:val="32"/>
          <w:highlight w:val="none"/>
        </w:rPr>
        <w:t>质量指标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质量指标为营养改善计划食品安全达标率，预期指标值是</w:t>
      </w:r>
      <w:r>
        <w:rPr>
          <w:rFonts w:hint="eastAsia" w:ascii="仿宋_GB2312"/>
          <w:color w:val="auto"/>
          <w:sz w:val="32"/>
          <w:szCs w:val="32"/>
          <w:highlight w:val="none"/>
          <w:lang w:eastAsia="zh-CN"/>
        </w:rPr>
        <w:t>等于</w:t>
      </w:r>
      <w:r>
        <w:rPr>
          <w:rFonts w:hint="eastAsia" w:ascii="仿宋_GB2312"/>
          <w:color w:val="auto"/>
          <w:sz w:val="32"/>
          <w:szCs w:val="32"/>
          <w:highlight w:val="none"/>
        </w:rPr>
        <w:t>100%，实际完成值是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rPr>
        <w:t>100%，指标达到预期目标。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质量指标为补助资金使用合规率，预期指标值是</w:t>
      </w:r>
      <w:r>
        <w:rPr>
          <w:rFonts w:hint="eastAsia" w:ascii="仿宋_GB2312"/>
          <w:color w:val="auto"/>
          <w:sz w:val="32"/>
          <w:szCs w:val="32"/>
          <w:highlight w:val="none"/>
          <w:lang w:eastAsia="zh-CN"/>
        </w:rPr>
        <w:t>等于</w:t>
      </w:r>
      <w:r>
        <w:rPr>
          <w:rFonts w:hint="eastAsia" w:ascii="仿宋_GB2312"/>
          <w:color w:val="auto"/>
          <w:sz w:val="32"/>
          <w:szCs w:val="32"/>
          <w:highlight w:val="none"/>
        </w:rPr>
        <w:t>100%，实际完成值是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rPr>
        <w:t>100%，指标达到预期目标。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质量指标为营养膳食生均补助标准，预期指标值是</w:t>
      </w:r>
      <w:r>
        <w:rPr>
          <w:rFonts w:hint="eastAsia" w:ascii="仿宋_GB2312"/>
          <w:color w:val="auto"/>
          <w:sz w:val="32"/>
          <w:szCs w:val="32"/>
          <w:highlight w:val="none"/>
          <w:lang w:eastAsia="zh-CN"/>
        </w:rPr>
        <w:t>大于等于</w:t>
      </w:r>
      <w:r>
        <w:rPr>
          <w:rFonts w:hint="eastAsia" w:ascii="仿宋_GB2312"/>
          <w:color w:val="auto"/>
          <w:sz w:val="32"/>
          <w:szCs w:val="32"/>
          <w:highlight w:val="none"/>
        </w:rPr>
        <w:t>5元/天，实际完成值是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rPr>
        <w:t>5元/天，指标达到预期目标。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left="0" w:leftChars="0" w:firstLine="643" w:firstLineChars="200"/>
        <w:jc w:val="both"/>
        <w:textAlignment w:val="auto"/>
        <w:rPr>
          <w:rFonts w:hint="eastAsia" w:ascii="仿宋_GB2312"/>
          <w:color w:val="auto"/>
          <w:sz w:val="32"/>
          <w:szCs w:val="32"/>
          <w:highlight w:val="none"/>
        </w:rPr>
      </w:pPr>
      <w:r>
        <w:rPr>
          <w:rFonts w:hint="default" w:ascii="仿宋_GB2312" w:eastAsia="仿宋_GB2312"/>
          <w:b/>
          <w:bCs/>
          <w:color w:val="auto"/>
          <w:kern w:val="2"/>
          <w:sz w:val="32"/>
          <w:szCs w:val="32"/>
          <w:highlight w:val="none"/>
          <w:lang w:val="en-US" w:eastAsia="zh-CN" w:bidi="ar-SA"/>
        </w:rPr>
        <w:t>3．</w:t>
      </w:r>
      <w:r>
        <w:rPr>
          <w:rFonts w:hint="eastAsia" w:ascii="仿宋_GB2312"/>
          <w:b/>
          <w:color w:val="auto"/>
          <w:sz w:val="32"/>
          <w:szCs w:val="32"/>
          <w:highlight w:val="none"/>
        </w:rPr>
        <w:t>时效指标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left="600" w:left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时效指标为项目按计划完成率，预期指标值是</w:t>
      </w:r>
      <w:r>
        <w:rPr>
          <w:rFonts w:hint="eastAsia" w:ascii="仿宋_GB2312"/>
          <w:color w:val="auto"/>
          <w:sz w:val="32"/>
          <w:szCs w:val="32"/>
          <w:highlight w:val="none"/>
          <w:lang w:eastAsia="zh-CN"/>
        </w:rPr>
        <w:t>等于</w:t>
      </w:r>
      <w:r>
        <w:rPr>
          <w:rFonts w:hint="eastAsia" w:ascii="仿宋_GB2312"/>
          <w:color w:val="auto"/>
          <w:sz w:val="32"/>
          <w:szCs w:val="32"/>
          <w:highlight w:val="none"/>
        </w:rPr>
        <w:t>100%，实际完成值是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rPr>
        <w:t>100%，指标达到预期目标。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left="600" w:leftChars="200"/>
        <w:jc w:val="both"/>
        <w:textAlignment w:val="auto"/>
        <w:rPr>
          <w:rFonts w:ascii="仿宋_GB2312"/>
          <w:color w:val="auto"/>
          <w:sz w:val="32"/>
          <w:szCs w:val="32"/>
          <w:highlight w:val="none"/>
        </w:rPr>
      </w:pPr>
      <w:r>
        <w:rPr>
          <w:rFonts w:hint="eastAsia" w:ascii="仿宋_GB2312"/>
          <w:color w:val="auto"/>
          <w:sz w:val="32"/>
          <w:szCs w:val="32"/>
          <w:highlight w:val="none"/>
        </w:rPr>
        <w:t>时效指标为营养改善计划食品保障及时率，预期指标值是</w:t>
      </w:r>
      <w:r>
        <w:rPr>
          <w:rFonts w:hint="eastAsia" w:ascii="仿宋_GB2312"/>
          <w:color w:val="auto"/>
          <w:sz w:val="32"/>
          <w:szCs w:val="32"/>
          <w:highlight w:val="none"/>
          <w:lang w:eastAsia="zh-CN"/>
        </w:rPr>
        <w:t>等于</w:t>
      </w:r>
      <w:r>
        <w:rPr>
          <w:rFonts w:hint="eastAsia" w:ascii="仿宋_GB2312"/>
          <w:color w:val="auto"/>
          <w:sz w:val="32"/>
          <w:szCs w:val="32"/>
          <w:highlight w:val="none"/>
        </w:rPr>
        <w:t>100%，实际完成值是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rPr>
        <w:t>100%，指标达到预期目标。</w:t>
      </w:r>
    </w:p>
    <w:p>
      <w:pPr>
        <w:pageBreakBefore w:val="0"/>
        <w:widowControl w:val="0"/>
        <w:kinsoku/>
        <w:wordWrap/>
        <w:overflowPunct/>
        <w:topLinePunct w:val="0"/>
        <w:autoSpaceDE/>
        <w:bidi w:val="0"/>
        <w:spacing w:line="560" w:lineRule="exact"/>
        <w:ind w:firstLine="643" w:firstLineChars="200"/>
        <w:jc w:val="both"/>
        <w:textAlignment w:val="auto"/>
        <w:rPr>
          <w:rFonts w:hint="eastAsia" w:ascii="仿宋_GB2312"/>
          <w:b/>
          <w:color w:val="auto"/>
          <w:sz w:val="32"/>
          <w:szCs w:val="32"/>
          <w:highlight w:val="none"/>
        </w:rPr>
      </w:pPr>
      <w:r>
        <w:rPr>
          <w:rFonts w:hint="eastAsia" w:ascii="仿宋_GB2312"/>
          <w:b/>
          <w:color w:val="auto"/>
          <w:sz w:val="32"/>
          <w:szCs w:val="32"/>
          <w:highlight w:val="none"/>
        </w:rPr>
        <w:t>4．成本指标</w:t>
      </w:r>
    </w:p>
    <w:p>
      <w:pPr>
        <w:pageBreakBefore w:val="0"/>
        <w:widowControl w:val="0"/>
        <w:kinsoku/>
        <w:wordWrap/>
        <w:overflowPunct/>
        <w:topLinePunct w:val="0"/>
        <w:autoSpaceDE/>
        <w:bidi w:val="0"/>
        <w:spacing w:line="560" w:lineRule="exact"/>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color w:val="auto"/>
          <w:sz w:val="32"/>
          <w:szCs w:val="32"/>
          <w:highlight w:val="none"/>
          <w:lang w:val="en-US" w:eastAsia="zh-CN"/>
        </w:rPr>
        <w:t>无。</w:t>
      </w:r>
    </w:p>
    <w:p>
      <w:pPr>
        <w:pageBreakBefore w:val="0"/>
        <w:widowControl w:val="0"/>
        <w:kinsoku/>
        <w:wordWrap/>
        <w:overflowPunct/>
        <w:topLinePunct w:val="0"/>
        <w:autoSpaceDE/>
        <w:bidi w:val="0"/>
        <w:spacing w:line="560" w:lineRule="exact"/>
        <w:ind w:firstLine="643" w:firstLineChars="200"/>
        <w:jc w:val="both"/>
        <w:textAlignment w:val="auto"/>
        <w:rPr>
          <w:rFonts w:ascii="楷体" w:hAnsi="楷体" w:eastAsia="楷体" w:cs="宋体"/>
          <w:b/>
          <w:bCs w:val="0"/>
          <w:color w:val="auto"/>
          <w:sz w:val="32"/>
          <w:szCs w:val="32"/>
          <w:highlight w:val="none"/>
        </w:rPr>
      </w:pPr>
      <w:r>
        <w:rPr>
          <w:rFonts w:hint="eastAsia" w:ascii="楷体" w:hAnsi="楷体" w:eastAsia="楷体" w:cs="宋体"/>
          <w:b/>
          <w:bCs w:val="0"/>
          <w:color w:val="auto"/>
          <w:sz w:val="32"/>
          <w:szCs w:val="32"/>
          <w:highlight w:val="none"/>
        </w:rPr>
        <w:t>（四）项目效益情况</w:t>
      </w:r>
    </w:p>
    <w:p>
      <w:pPr>
        <w:pageBreakBefore w:val="0"/>
        <w:widowControl w:val="0"/>
        <w:kinsoku/>
        <w:wordWrap/>
        <w:overflowPunct/>
        <w:topLinePunct w:val="0"/>
        <w:autoSpaceDE/>
        <w:bidi w:val="0"/>
        <w:spacing w:line="560" w:lineRule="exact"/>
        <w:ind w:firstLine="643" w:firstLineChars="200"/>
        <w:jc w:val="both"/>
        <w:textAlignment w:val="auto"/>
        <w:rPr>
          <w:rFonts w:hint="eastAsia" w:ascii="仿宋_GB2312" w:hAnsi="仿宋" w:cs="宋体"/>
          <w:b/>
          <w:bCs/>
          <w:color w:val="auto"/>
          <w:sz w:val="32"/>
          <w:szCs w:val="32"/>
          <w:highlight w:val="none"/>
        </w:rPr>
      </w:pPr>
      <w:r>
        <w:rPr>
          <w:rFonts w:ascii="仿宋_GB2312" w:hAnsi="仿宋" w:cs="宋体"/>
          <w:b/>
          <w:bCs/>
          <w:color w:val="auto"/>
          <w:sz w:val="32"/>
          <w:szCs w:val="32"/>
          <w:highlight w:val="none"/>
        </w:rPr>
        <w:t xml:space="preserve"> </w:t>
      </w:r>
      <w:r>
        <w:rPr>
          <w:rFonts w:hint="eastAsia" w:ascii="仿宋_GB2312" w:hAnsi="仿宋" w:cs="宋体"/>
          <w:b/>
          <w:bCs/>
          <w:color w:val="auto"/>
          <w:sz w:val="32"/>
          <w:szCs w:val="32"/>
          <w:highlight w:val="none"/>
        </w:rPr>
        <w:t>1．经济效益指标</w:t>
      </w:r>
    </w:p>
    <w:p>
      <w:pPr>
        <w:pageBreakBefore w:val="0"/>
        <w:widowControl w:val="0"/>
        <w:kinsoku/>
        <w:wordWrap/>
        <w:overflowPunct/>
        <w:topLinePunct w:val="0"/>
        <w:autoSpaceDE/>
        <w:bidi w:val="0"/>
        <w:spacing w:line="560" w:lineRule="exact"/>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color w:val="auto"/>
          <w:sz w:val="32"/>
          <w:szCs w:val="32"/>
          <w:highlight w:val="none"/>
          <w:lang w:val="en-US" w:eastAsia="zh-CN"/>
        </w:rPr>
        <w:t>无。</w:t>
      </w:r>
    </w:p>
    <w:p>
      <w:pPr>
        <w:pageBreakBefore w:val="0"/>
        <w:widowControl w:val="0"/>
        <w:kinsoku/>
        <w:wordWrap/>
        <w:overflowPunct/>
        <w:topLinePunct w:val="0"/>
        <w:autoSpaceDE/>
        <w:bidi w:val="0"/>
        <w:spacing w:line="560" w:lineRule="exact"/>
        <w:ind w:firstLine="643" w:firstLineChars="200"/>
        <w:jc w:val="both"/>
        <w:textAlignment w:val="auto"/>
        <w:rPr>
          <w:rFonts w:hint="eastAsia" w:ascii="仿宋_GB2312" w:hAnsi="仿宋" w:cs="宋体"/>
          <w:b/>
          <w:bCs/>
          <w:color w:val="auto"/>
          <w:sz w:val="32"/>
          <w:szCs w:val="32"/>
          <w:highlight w:val="none"/>
        </w:rPr>
      </w:pPr>
      <w:r>
        <w:rPr>
          <w:rFonts w:hint="eastAsia" w:ascii="仿宋_GB2312" w:hAnsi="仿宋" w:cs="宋体"/>
          <w:b/>
          <w:bCs/>
          <w:color w:val="auto"/>
          <w:sz w:val="32"/>
          <w:szCs w:val="32"/>
          <w:highlight w:val="none"/>
        </w:rPr>
        <w:t>2．社会效益指标</w:t>
      </w:r>
    </w:p>
    <w:p>
      <w:pPr>
        <w:pageBreakBefore w:val="0"/>
        <w:widowControl w:val="0"/>
        <w:kinsoku/>
        <w:wordWrap/>
        <w:overflowPunct/>
        <w:topLinePunct w:val="0"/>
        <w:autoSpaceDE/>
        <w:bidi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hAnsi="仿宋" w:cs="宋体"/>
          <w:bCs/>
          <w:color w:val="auto"/>
          <w:sz w:val="32"/>
          <w:szCs w:val="32"/>
          <w:highlight w:val="none"/>
        </w:rPr>
        <w:t>项目实施产生的社会效益</w:t>
      </w:r>
      <w:r>
        <w:rPr>
          <w:rFonts w:hint="eastAsia" w:ascii="仿宋_GB2312"/>
          <w:color w:val="auto"/>
          <w:sz w:val="32"/>
          <w:szCs w:val="32"/>
          <w:highlight w:val="none"/>
        </w:rPr>
        <w:t>指标为减轻农村学生家庭负担，预期指标值是效果显著，实际完成值是效果显著，指标达到预期目标。</w:t>
      </w:r>
    </w:p>
    <w:p>
      <w:pPr>
        <w:pageBreakBefore w:val="0"/>
        <w:widowControl w:val="0"/>
        <w:kinsoku/>
        <w:wordWrap/>
        <w:overflowPunct/>
        <w:topLinePunct w:val="0"/>
        <w:autoSpaceDE/>
        <w:bidi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hAnsi="仿宋" w:cs="宋体"/>
          <w:bCs/>
          <w:color w:val="auto"/>
          <w:sz w:val="32"/>
          <w:szCs w:val="32"/>
          <w:highlight w:val="none"/>
        </w:rPr>
        <w:t>项目实施产生的社会效益</w:t>
      </w:r>
      <w:r>
        <w:rPr>
          <w:rFonts w:hint="eastAsia" w:ascii="仿宋_GB2312"/>
          <w:color w:val="auto"/>
          <w:sz w:val="32"/>
          <w:szCs w:val="32"/>
          <w:highlight w:val="none"/>
        </w:rPr>
        <w:t>指标为提高农村学生健康水平，预期指标值是有效提高，实际完成值是有效提高，指标达到预期目标。</w:t>
      </w:r>
    </w:p>
    <w:p>
      <w:pPr>
        <w:pageBreakBefore w:val="0"/>
        <w:widowControl w:val="0"/>
        <w:kinsoku/>
        <w:wordWrap/>
        <w:overflowPunct/>
        <w:topLinePunct w:val="0"/>
        <w:autoSpaceDE/>
        <w:bidi w:val="0"/>
        <w:spacing w:line="560" w:lineRule="exact"/>
        <w:ind w:firstLine="643" w:firstLineChars="200"/>
        <w:jc w:val="both"/>
        <w:textAlignment w:val="auto"/>
        <w:rPr>
          <w:rFonts w:hint="eastAsia" w:ascii="仿宋_GB2312" w:hAnsi="仿宋" w:cs="宋体"/>
          <w:b/>
          <w:bCs/>
          <w:color w:val="auto"/>
          <w:sz w:val="32"/>
          <w:szCs w:val="32"/>
          <w:highlight w:val="none"/>
        </w:rPr>
      </w:pPr>
      <w:r>
        <w:rPr>
          <w:rFonts w:hint="eastAsia" w:ascii="仿宋_GB2312" w:hAnsi="仿宋" w:cs="宋体"/>
          <w:b/>
          <w:bCs/>
          <w:color w:val="auto"/>
          <w:sz w:val="32"/>
          <w:szCs w:val="32"/>
          <w:highlight w:val="none"/>
        </w:rPr>
        <w:t>3．生态效益指标</w:t>
      </w:r>
    </w:p>
    <w:p>
      <w:pPr>
        <w:pageBreakBefore w:val="0"/>
        <w:widowControl w:val="0"/>
        <w:kinsoku/>
        <w:wordWrap/>
        <w:overflowPunct/>
        <w:topLinePunct w:val="0"/>
        <w:autoSpaceDE/>
        <w:bidi w:val="0"/>
        <w:spacing w:line="560" w:lineRule="exact"/>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hAnsi="仿宋" w:cs="宋体"/>
          <w:bCs/>
          <w:color w:val="auto"/>
          <w:sz w:val="32"/>
          <w:szCs w:val="32"/>
          <w:highlight w:val="none"/>
          <w:lang w:val="en-US" w:eastAsia="zh-CN"/>
        </w:rPr>
        <w:t>无。</w:t>
      </w:r>
    </w:p>
    <w:p>
      <w:pPr>
        <w:pageBreakBefore w:val="0"/>
        <w:widowControl w:val="0"/>
        <w:kinsoku/>
        <w:wordWrap/>
        <w:overflowPunct/>
        <w:topLinePunct w:val="0"/>
        <w:autoSpaceDE/>
        <w:bidi w:val="0"/>
        <w:spacing w:line="560" w:lineRule="exact"/>
        <w:ind w:firstLine="643" w:firstLineChars="200"/>
        <w:jc w:val="both"/>
        <w:textAlignment w:val="auto"/>
        <w:rPr>
          <w:rFonts w:hint="eastAsia" w:ascii="仿宋_GB2312" w:hAnsi="仿宋" w:cs="宋体"/>
          <w:b/>
          <w:bCs/>
          <w:color w:val="auto"/>
          <w:sz w:val="32"/>
          <w:szCs w:val="32"/>
          <w:highlight w:val="none"/>
        </w:rPr>
      </w:pPr>
      <w:r>
        <w:rPr>
          <w:rFonts w:hint="eastAsia" w:ascii="仿宋_GB2312" w:hAnsi="仿宋" w:cs="宋体"/>
          <w:b/>
          <w:bCs/>
          <w:color w:val="auto"/>
          <w:sz w:val="32"/>
          <w:szCs w:val="32"/>
          <w:highlight w:val="none"/>
          <w:lang w:val="en-US" w:eastAsia="zh-CN"/>
        </w:rPr>
        <w:t>4</w:t>
      </w:r>
      <w:r>
        <w:rPr>
          <w:rFonts w:hint="eastAsia" w:ascii="仿宋_GB2312" w:hAnsi="仿宋" w:cs="宋体"/>
          <w:b/>
          <w:bCs/>
          <w:color w:val="auto"/>
          <w:sz w:val="32"/>
          <w:szCs w:val="32"/>
          <w:highlight w:val="none"/>
        </w:rPr>
        <w:t>．满意度指标</w:t>
      </w:r>
    </w:p>
    <w:p>
      <w:pPr>
        <w:pageBreakBefore w:val="0"/>
        <w:widowControl w:val="0"/>
        <w:kinsoku/>
        <w:wordWrap/>
        <w:overflowPunct/>
        <w:topLinePunct w:val="0"/>
        <w:autoSpaceDE/>
        <w:bidi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满意度指标为学生满意度，预期指标值是</w:t>
      </w:r>
      <w:r>
        <w:rPr>
          <w:rFonts w:hint="eastAsia" w:ascii="仿宋_GB2312"/>
          <w:color w:val="auto"/>
          <w:sz w:val="32"/>
          <w:szCs w:val="32"/>
          <w:highlight w:val="none"/>
          <w:lang w:eastAsia="zh-CN"/>
        </w:rPr>
        <w:t>大于等于</w:t>
      </w:r>
      <w:r>
        <w:rPr>
          <w:rFonts w:hint="eastAsia" w:ascii="仿宋_GB2312"/>
          <w:color w:val="auto"/>
          <w:sz w:val="32"/>
          <w:szCs w:val="32"/>
          <w:highlight w:val="none"/>
        </w:rPr>
        <w:t>90%，实际完成值是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rPr>
        <w:t>90%，指标达到预期目标。</w:t>
      </w:r>
    </w:p>
    <w:p>
      <w:pPr>
        <w:pageBreakBefore w:val="0"/>
        <w:widowControl w:val="0"/>
        <w:kinsoku/>
        <w:wordWrap/>
        <w:overflowPunct/>
        <w:topLinePunct w:val="0"/>
        <w:autoSpaceDE/>
        <w:bidi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满意度指标为家长满意度，预期指标值是</w:t>
      </w:r>
      <w:r>
        <w:rPr>
          <w:rFonts w:hint="eastAsia" w:ascii="仿宋_GB2312"/>
          <w:color w:val="auto"/>
          <w:sz w:val="32"/>
          <w:szCs w:val="32"/>
          <w:highlight w:val="none"/>
          <w:lang w:eastAsia="zh-CN"/>
        </w:rPr>
        <w:t>大于等于</w:t>
      </w:r>
      <w:r>
        <w:rPr>
          <w:rFonts w:hint="eastAsia" w:ascii="仿宋_GB2312"/>
          <w:color w:val="auto"/>
          <w:sz w:val="32"/>
          <w:szCs w:val="32"/>
          <w:highlight w:val="none"/>
        </w:rPr>
        <w:t>90%，实际完成值是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rPr>
        <w:t>90%，指标达到预期目标。</w:t>
      </w:r>
    </w:p>
    <w:p>
      <w:pPr>
        <w:pStyle w:val="5"/>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560" w:lineRule="exact"/>
        <w:ind w:left="0" w:firstLine="640" w:firstLineChars="200"/>
        <w:jc w:val="both"/>
        <w:textAlignment w:val="auto"/>
        <w:rPr>
          <w:rFonts w:hint="eastAsia" w:ascii="黑体" w:hAnsi="黑体" w:eastAsia="黑体" w:cs="仿宋_GB2312"/>
          <w:b w:val="0"/>
          <w:bCs w:val="0"/>
          <w:color w:val="auto"/>
          <w:kern w:val="2"/>
          <w:sz w:val="32"/>
          <w:szCs w:val="32"/>
          <w:highlight w:val="none"/>
          <w:lang w:val="en-US" w:eastAsia="zh-CN" w:bidi="ar-SA"/>
        </w:rPr>
      </w:pPr>
      <w:r>
        <w:rPr>
          <w:rFonts w:hint="default" w:ascii="黑体" w:hAnsi="黑体" w:eastAsia="黑体" w:cs="仿宋_GB2312"/>
          <w:b w:val="0"/>
          <w:bCs w:val="0"/>
          <w:color w:val="auto"/>
          <w:kern w:val="2"/>
          <w:sz w:val="32"/>
          <w:szCs w:val="32"/>
          <w:highlight w:val="none"/>
          <w:lang w:val="en-US" w:eastAsia="zh-CN" w:bidi="ar-SA"/>
        </w:rPr>
        <w:t>五、主要经验及做法、存在的问题及原因分析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ascii="楷体" w:hAnsi="楷体" w:eastAsia="楷体"/>
          <w:b/>
          <w:bCs/>
          <w:color w:val="auto"/>
          <w:sz w:val="32"/>
          <w:szCs w:val="32"/>
          <w:highlight w:val="none"/>
        </w:rPr>
      </w:pPr>
      <w:r>
        <w:rPr>
          <w:rFonts w:hint="eastAsia" w:ascii="楷体" w:hAnsi="楷体" w:eastAsia="楷体"/>
          <w:b/>
          <w:bCs/>
          <w:color w:val="auto"/>
          <w:sz w:val="32"/>
          <w:szCs w:val="32"/>
          <w:highlight w:val="none"/>
        </w:rPr>
        <w:t>（一）主要经验及做法</w:t>
      </w:r>
    </w:p>
    <w:p>
      <w:pPr>
        <w:pStyle w:val="30"/>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hint="eastAsia"/>
          <w:b w:val="0"/>
          <w:color w:val="auto"/>
          <w:highlight w:val="none"/>
        </w:rPr>
      </w:pPr>
      <w:r>
        <w:rPr>
          <w:rFonts w:hint="eastAsia"/>
          <w:b w:val="0"/>
          <w:color w:val="auto"/>
          <w:highlight w:val="none"/>
        </w:rPr>
        <w:t>本项目实施效果较好的原因主要是管理制度完善、责任落实到位，跟踪考核机制完善且运行有效，在项目实施过程中创新管理办法，使项目取得了良好的效果</w:t>
      </w:r>
      <w:r>
        <w:rPr>
          <w:rFonts w:hint="eastAsia"/>
          <w:b w:val="0"/>
          <w:color w:val="auto"/>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楷体" w:hAnsi="楷体" w:eastAsia="楷体"/>
          <w:b/>
          <w:bCs/>
          <w:color w:val="auto"/>
          <w:sz w:val="32"/>
          <w:szCs w:val="32"/>
          <w:highlight w:val="none"/>
        </w:rPr>
      </w:pPr>
      <w:r>
        <w:rPr>
          <w:rFonts w:hint="eastAsia" w:ascii="楷体" w:hAnsi="楷体" w:eastAsia="楷体"/>
          <w:b/>
          <w:bCs/>
          <w:color w:val="auto"/>
          <w:sz w:val="32"/>
          <w:szCs w:val="32"/>
          <w:highlight w:val="none"/>
        </w:rPr>
        <w:t>（二）存在的问题及原因分析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Cambria" w:eastAsia="仿宋_GB2312" w:cs="Times New Roman"/>
          <w:b w:val="0"/>
          <w:bCs w:val="0"/>
          <w:color w:val="auto"/>
          <w:kern w:val="2"/>
          <w:sz w:val="32"/>
          <w:szCs w:val="32"/>
          <w:highlight w:val="none"/>
          <w:lang w:val="en-US" w:eastAsia="zh-CN" w:bidi="ar-SA"/>
        </w:rPr>
      </w:pPr>
      <w:r>
        <w:rPr>
          <w:rFonts w:hint="eastAsia" w:ascii="仿宋_GB2312" w:hAnsi="Cambria" w:eastAsia="仿宋_GB2312" w:cs="Times New Roman"/>
          <w:b w:val="0"/>
          <w:bCs w:val="0"/>
          <w:color w:val="auto"/>
          <w:kern w:val="2"/>
          <w:sz w:val="32"/>
          <w:szCs w:val="32"/>
          <w:highlight w:val="none"/>
          <w:lang w:val="en-US" w:eastAsia="zh-CN" w:bidi="ar-SA"/>
        </w:rPr>
        <w:t>偏差原因：</w:t>
      </w:r>
      <w:r>
        <w:rPr>
          <w:rFonts w:hint="eastAsia" w:ascii="仿宋_GB2312" w:hAnsi="Cambria" w:cs="Times New Roman"/>
          <w:b w:val="0"/>
          <w:bCs w:val="0"/>
          <w:color w:val="auto"/>
          <w:kern w:val="2"/>
          <w:sz w:val="32"/>
          <w:szCs w:val="32"/>
          <w:highlight w:val="none"/>
          <w:lang w:val="en-US" w:eastAsia="zh-CN" w:bidi="ar-SA"/>
        </w:rPr>
        <w:t>预算执行率偏差的主要原因是部门单位预算支出计划不够完善，全年实际支出金额小于预期计划支出金额，预算执行率未达预期目标，待提高业务工作质量及效率，减少偏差。</w:t>
      </w:r>
    </w:p>
    <w:p>
      <w:pPr>
        <w:pStyle w:val="30"/>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ascii="黑体" w:hAnsi="黑体" w:eastAsia="黑体"/>
          <w:b w:val="0"/>
          <w:bCs w:val="0"/>
          <w:color w:val="auto"/>
          <w:highlight w:val="none"/>
        </w:rPr>
      </w:pPr>
      <w:r>
        <w:rPr>
          <w:rFonts w:hint="eastAsia" w:ascii="黑体" w:hAnsi="黑体" w:eastAsia="黑体"/>
          <w:b w:val="0"/>
          <w:bCs w:val="0"/>
          <w:color w:val="auto"/>
          <w:highlight w:val="none"/>
          <w:lang w:val="en-US" w:eastAsia="zh-CN"/>
        </w:rPr>
        <w:t>六、有关建议</w:t>
      </w:r>
    </w:p>
    <w:p>
      <w:pPr>
        <w:pStyle w:val="3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 w:eastAsia="仿宋_GB2312" w:cs="宋体"/>
          <w:b w:val="0"/>
          <w:color w:val="auto"/>
          <w:kern w:val="2"/>
          <w:highlight w:val="none"/>
        </w:rPr>
      </w:pPr>
      <w:r>
        <w:rPr>
          <w:rFonts w:hint="eastAsia" w:ascii="仿宋_GB2312" w:hAnsi="仿宋" w:eastAsia="仿宋_GB2312" w:cs="宋体"/>
          <w:b w:val="0"/>
          <w:color w:val="auto"/>
          <w:kern w:val="2"/>
          <w:highlight w:val="none"/>
        </w:rPr>
        <w:t>预算编制工作，认真做好预算的编制。全面编制预算项目，优先保障固定性的、相对刚性的费用支出项目，尽量压缩变动性的、有控制空间的费用项目，进一步提高预算编制的科学性、严谨性和可控性。</w:t>
      </w:r>
    </w:p>
    <w:p>
      <w:pPr>
        <w:pStyle w:val="3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 w:eastAsia="仿宋_GB2312" w:cs="宋体"/>
          <w:b w:val="0"/>
          <w:color w:val="auto"/>
          <w:kern w:val="2"/>
          <w:highlight w:val="none"/>
        </w:rPr>
      </w:pPr>
      <w:r>
        <w:rPr>
          <w:rFonts w:hint="eastAsia" w:ascii="仿宋_GB2312" w:hAnsi="仿宋" w:eastAsia="仿宋_GB2312" w:cs="宋体"/>
          <w:b w:val="0"/>
          <w:color w:val="auto"/>
          <w:kern w:val="2"/>
          <w:highlight w:val="none"/>
        </w:rPr>
        <w:t>开展进度的跟踪，确保项目绩效目标的完成。规范程序，严格把关。进一步完善项目申报、审核、公示、审批等程序，做好项目信息公开，公开内容要及时、完整、真实，确保项目公平、公开、公正。</w:t>
      </w:r>
    </w:p>
    <w:p>
      <w:pPr>
        <w:pStyle w:val="3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rPr>
          <w:rFonts w:ascii="黑体" w:hAnsi="黑体"/>
          <w:b w:val="0"/>
          <w:color w:val="auto"/>
          <w:highlight w:val="none"/>
        </w:rPr>
      </w:pPr>
      <w:r>
        <w:rPr>
          <w:rFonts w:hint="eastAsia" w:ascii="仿宋_GB2312" w:hAnsi="仿宋" w:eastAsia="仿宋_GB2312" w:cs="宋体"/>
          <w:b w:val="0"/>
          <w:color w:val="auto"/>
          <w:kern w:val="2"/>
          <w:highlight w:val="none"/>
        </w:rPr>
        <w:t>健全制度，加强督促。针对项目实施中存在的问题，进一步完善相关制度，加强督促检查，</w:t>
      </w:r>
      <w:bookmarkStart w:id="0" w:name="_GoBack"/>
      <w:bookmarkEnd w:id="0"/>
      <w:r>
        <w:rPr>
          <w:rFonts w:hint="eastAsia" w:ascii="仿宋_GB2312" w:hAnsi="仿宋" w:eastAsia="仿宋_GB2312" w:cs="宋体"/>
          <w:b w:val="0"/>
          <w:color w:val="auto"/>
          <w:kern w:val="2"/>
          <w:highlight w:val="none"/>
        </w:rPr>
        <w:t>同时及时完善资料。</w:t>
      </w:r>
    </w:p>
    <w:p>
      <w:pPr>
        <w:pStyle w:val="30"/>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ascii="黑体" w:hAnsi="黑体" w:eastAsia="黑体"/>
          <w:b w:val="0"/>
          <w:bCs w:val="0"/>
          <w:color w:val="auto"/>
          <w:highlight w:val="none"/>
        </w:rPr>
      </w:pPr>
      <w:r>
        <w:rPr>
          <w:rFonts w:hint="eastAsia" w:ascii="黑体" w:hAnsi="黑体" w:eastAsia="黑体"/>
          <w:b w:val="0"/>
          <w:bCs w:val="0"/>
          <w:color w:val="auto"/>
          <w:highlight w:val="none"/>
          <w:lang w:val="en-US" w:eastAsia="zh-CN"/>
        </w:rPr>
        <w:t>七</w:t>
      </w:r>
      <w:r>
        <w:rPr>
          <w:rFonts w:hint="eastAsia" w:ascii="黑体" w:hAnsi="黑体" w:eastAsia="黑体"/>
          <w:b w:val="0"/>
          <w:bCs w:val="0"/>
          <w:color w:val="auto"/>
          <w:highlight w:val="none"/>
        </w:rPr>
        <w:t>、其他需要说明的问题</w:t>
      </w:r>
    </w:p>
    <w:p>
      <w:pPr>
        <w:pStyle w:val="3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 w:eastAsia="仿宋_GB2312" w:cs="宋体"/>
          <w:b w:val="0"/>
          <w:color w:val="auto"/>
          <w:kern w:val="2"/>
          <w:highlight w:val="none"/>
          <w:lang w:val="en-US" w:eastAsia="zh-CN"/>
        </w:rPr>
      </w:pPr>
      <w:r>
        <w:rPr>
          <w:rFonts w:hint="eastAsia" w:ascii="仿宋_GB2312" w:hAnsi="仿宋" w:eastAsia="仿宋_GB2312" w:cs="宋体"/>
          <w:b w:val="0"/>
          <w:color w:val="auto"/>
          <w:kern w:val="2"/>
          <w:highlight w:val="none"/>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both"/>
        <w:textAlignment w:val="auto"/>
        <w:rPr>
          <w:rFonts w:hint="eastAsia"/>
          <w:color w:val="auto"/>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both"/>
        <w:textAlignment w:val="auto"/>
        <w:rPr>
          <w:rFonts w:hint="eastAsia"/>
          <w:color w:val="auto"/>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both"/>
        <w:textAlignment w:val="auto"/>
        <w:rPr>
          <w:rFonts w:hint="eastAsia"/>
          <w:color w:val="auto"/>
          <w:highlight w:val="none"/>
        </w:rPr>
      </w:pPr>
    </w:p>
    <w:p>
      <w:pPr>
        <w:spacing w:line="560" w:lineRule="exac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附件1</w:t>
      </w:r>
    </w:p>
    <w:p>
      <w:pPr>
        <w:spacing w:line="560" w:lineRule="exact"/>
        <w:ind w:left="600" w:leftChars="200" w:firstLine="2240" w:firstLineChars="7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绩效评价指标体系</w:t>
      </w:r>
    </w:p>
    <w:tbl>
      <w:tblPr>
        <w:tblStyle w:val="12"/>
        <w:tblW w:w="9859"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一级指标</w:t>
            </w:r>
          </w:p>
        </w:tc>
        <w:tc>
          <w:tcPr>
            <w:tcW w:w="1478" w:type="dxa"/>
            <w:shd w:val="clear" w:color="auto" w:fill="FFFFFF"/>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二级指标</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三级指标</w:t>
            </w:r>
          </w:p>
        </w:tc>
        <w:tc>
          <w:tcPr>
            <w:tcW w:w="388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指标解释</w:t>
            </w:r>
          </w:p>
        </w:tc>
        <w:tc>
          <w:tcPr>
            <w:tcW w:w="990" w:type="dxa"/>
            <w:tcBorders>
              <w:left w:val="single" w:color="auto" w:sz="4" w:space="0"/>
            </w:tcBorders>
            <w:shd w:val="clear" w:color="auto" w:fill="FFFFFF"/>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分值</w:t>
            </w:r>
          </w:p>
        </w:tc>
        <w:tc>
          <w:tcPr>
            <w:tcW w:w="874" w:type="dxa"/>
            <w:shd w:val="clear" w:color="auto" w:fill="FFFFFF"/>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得分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决策</w:t>
            </w:r>
          </w:p>
        </w:tc>
        <w:tc>
          <w:tcPr>
            <w:tcW w:w="1478"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项目立项　</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立项依据</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充分性</w:t>
            </w:r>
          </w:p>
        </w:tc>
        <w:tc>
          <w:tcPr>
            <w:tcW w:w="3885" w:type="dxa"/>
            <w:tcBorders>
              <w:right w:val="single" w:color="auto" w:sz="4" w:space="0"/>
            </w:tcBorders>
            <w:shd w:val="clear" w:color="auto"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项目立项是否符合法律法规、相关政策、发展规划以及部门职责，用以反映和考核项目立项依据情况。</w:t>
            </w:r>
          </w:p>
        </w:tc>
        <w:tc>
          <w:tcPr>
            <w:tcW w:w="990" w:type="dxa"/>
            <w:tcBorders>
              <w:left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tcBorders>
              <w:bottom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立项程序</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规范性</w:t>
            </w:r>
          </w:p>
        </w:tc>
        <w:tc>
          <w:tcPr>
            <w:tcW w:w="3885" w:type="dxa"/>
            <w:tcBorders>
              <w:right w:val="single" w:color="auto" w:sz="4" w:space="0"/>
            </w:tcBorders>
            <w:shd w:val="clear" w:color="auto"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项目申请、设立过程是否符合相关要求，用以反映和考核项目立项的规范情况</w:t>
            </w:r>
          </w:p>
        </w:tc>
        <w:tc>
          <w:tcPr>
            <w:tcW w:w="990" w:type="dxa"/>
            <w:tcBorders>
              <w:left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绩效目标</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绩效目标</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合理性</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5</w:t>
            </w:r>
          </w:p>
        </w:tc>
        <w:tc>
          <w:tcPr>
            <w:tcW w:w="874" w:type="dxa"/>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绩效指标</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明确性</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tcBorders>
              <w:bottom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资金投入</w:t>
            </w:r>
          </w:p>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　</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预算编制</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科学性</w:t>
            </w:r>
          </w:p>
        </w:tc>
        <w:tc>
          <w:tcPr>
            <w:tcW w:w="3885" w:type="dxa"/>
            <w:tcBorders>
              <w:right w:val="single" w:color="auto" w:sz="4" w:space="0"/>
            </w:tcBorders>
            <w:shd w:val="clear" w:color="auto"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tcBorders>
              <w:bottom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资金分配</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合理性</w:t>
            </w:r>
          </w:p>
        </w:tc>
        <w:tc>
          <w:tcPr>
            <w:tcW w:w="3885" w:type="dxa"/>
            <w:tcBorders>
              <w:right w:val="single" w:color="auto" w:sz="4" w:space="0"/>
            </w:tcBorders>
            <w:shd w:val="clear" w:color="auto"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过程</w:t>
            </w:r>
          </w:p>
        </w:tc>
        <w:tc>
          <w:tcPr>
            <w:tcW w:w="1478"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资金管理</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资金到位率</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实际到位资金与预算资金的比率，用以反映和考核资金落实情况对项目实施的总体保障程度。</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tcBorders>
              <w:bottom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vAlign w:val="center"/>
          </w:tcPr>
          <w:p>
            <w:pPr>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预算执行率</w:t>
            </w:r>
          </w:p>
        </w:tc>
        <w:tc>
          <w:tcPr>
            <w:tcW w:w="3885" w:type="dxa"/>
            <w:tcBorders>
              <w:right w:val="single" w:color="auto" w:sz="4" w:space="0"/>
            </w:tcBorders>
            <w:shd w:val="clear" w:color="auto"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项目预算资金是否按照计划执行，用以反映或考核项目预算执行情况</w:t>
            </w:r>
          </w:p>
        </w:tc>
        <w:tc>
          <w:tcPr>
            <w:tcW w:w="990" w:type="dxa"/>
            <w:tcBorders>
              <w:left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5</w:t>
            </w:r>
          </w:p>
        </w:tc>
        <w:tc>
          <w:tcPr>
            <w:tcW w:w="874" w:type="dxa"/>
            <w:tcBorders>
              <w:bottom w:val="single" w:color="auto" w:sz="4" w:space="0"/>
            </w:tcBorders>
            <w:shd w:val="clear" w:color="auto" w:fill="FFFFFF"/>
            <w:vAlign w:val="center"/>
          </w:tcPr>
          <w:p>
            <w:pPr>
              <w:spacing w:line="400" w:lineRule="exact"/>
              <w:jc w:val="center"/>
              <w:rPr>
                <w:rFonts w:hint="default" w:ascii="仿宋_GB2312" w:hAnsi="仿宋_GB2312" w:eastAsia="仿宋_GB2312" w:cs="仿宋_GB2312"/>
                <w:color w:val="auto"/>
                <w:sz w:val="24"/>
                <w:highlight w:val="none"/>
                <w:lang w:val="en-US" w:eastAsia="zh-CN"/>
              </w:rPr>
            </w:pPr>
            <w:r>
              <w:rPr>
                <w:rFonts w:hint="eastAsia" w:ascii="仿宋_GB2312" w:hAnsi="仿宋_GB2312" w:cs="仿宋_GB2312"/>
                <w:color w:val="auto"/>
                <w:sz w:val="24"/>
                <w:highlight w:val="none"/>
              </w:rPr>
              <w:t>4.</w:t>
            </w:r>
            <w:r>
              <w:rPr>
                <w:rFonts w:hint="eastAsia" w:ascii="仿宋_GB2312" w:hAnsi="仿宋_GB2312" w:cs="仿宋_GB2312"/>
                <w:color w:val="auto"/>
                <w:sz w:val="24"/>
                <w:highlight w:val="none"/>
                <w:lang w:val="en-US" w:eastAsia="zh-CN"/>
              </w:rPr>
              <w:t>08</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400" w:lineRule="exact"/>
              <w:jc w:val="center"/>
              <w:rPr>
                <w:rFonts w:hint="eastAsia" w:ascii="仿宋_GB2312" w:hAnsi="仿宋_GB2312" w:cs="仿宋_GB2312"/>
                <w:color w:val="auto"/>
                <w:kern w:val="0"/>
                <w:sz w:val="24"/>
                <w:highlight w:val="none"/>
              </w:rPr>
            </w:pPr>
          </w:p>
        </w:tc>
        <w:tc>
          <w:tcPr>
            <w:tcW w:w="1478" w:type="dxa"/>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资金管理</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资金使用</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合规性</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项目资金使用是否符合相关的财务管理制度规定，用以反映和考核项目资金的规范运行情况。</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tcBorders>
              <w:bottom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组织实施</w:t>
            </w:r>
          </w:p>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　</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管理制度</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健全性</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tcBorders>
              <w:bottom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制度执行</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有效性</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项目实施是否符合相关管理规定，用以反映和考核相关管理制度的有效执行情况。</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w:t>
            </w:r>
          </w:p>
        </w:tc>
        <w:tc>
          <w:tcPr>
            <w:tcW w:w="874" w:type="dxa"/>
            <w:tcBorders>
              <w:bottom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w:t>
            </w:r>
          </w:p>
        </w:tc>
        <w:tc>
          <w:tcPr>
            <w:tcW w:w="1478" w:type="dxa"/>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产出数量</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实际完成率</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项目实施的实际产出数与计划产出数的比率，用以反映和考核项目产出数量目标的实现程度。</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c>
          <w:tcPr>
            <w:tcW w:w="874" w:type="dxa"/>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产出质量</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质量达标率</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项目完成的质量达标产出数与实际产出数的比率，用以反映和考核项目产出质量目标的实现程度。</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7</w:t>
            </w:r>
          </w:p>
        </w:tc>
        <w:tc>
          <w:tcPr>
            <w:tcW w:w="874" w:type="dxa"/>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7</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400" w:lineRule="exact"/>
              <w:jc w:val="center"/>
              <w:rPr>
                <w:rFonts w:hint="eastAsia" w:ascii="仿宋_GB2312" w:hAnsi="仿宋_GB2312" w:cs="仿宋_GB2312"/>
                <w:color w:val="auto"/>
                <w:kern w:val="0"/>
                <w:sz w:val="24"/>
                <w:highlight w:val="none"/>
              </w:rPr>
            </w:pPr>
          </w:p>
        </w:tc>
        <w:tc>
          <w:tcPr>
            <w:tcW w:w="1478" w:type="dxa"/>
            <w:shd w:val="clear" w:color="auto" w:fill="FFFFFF"/>
            <w:vAlign w:val="center"/>
          </w:tcPr>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产出时效</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完成及时性</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项目实际完成时间与计划完成时间的比较，用以反映和考核项目产出时效目标的实现程度。</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c>
          <w:tcPr>
            <w:tcW w:w="874" w:type="dxa"/>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产出成本</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成本节约率</w:t>
            </w:r>
          </w:p>
        </w:tc>
        <w:tc>
          <w:tcPr>
            <w:tcW w:w="3885" w:type="dxa"/>
            <w:tcBorders>
              <w:right w:val="single" w:color="auto" w:sz="4" w:space="0"/>
            </w:tcBorders>
            <w:shd w:val="clear" w:color="auto"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完成项目计划工作目标的实际节约成本与计划成本的比率，用以反映和考核项目的成本节约程度。</w:t>
            </w:r>
          </w:p>
        </w:tc>
        <w:tc>
          <w:tcPr>
            <w:tcW w:w="990" w:type="dxa"/>
            <w:tcBorders>
              <w:left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7</w:t>
            </w:r>
          </w:p>
        </w:tc>
        <w:tc>
          <w:tcPr>
            <w:tcW w:w="874" w:type="dxa"/>
            <w:shd w:val="clear" w:color="auto" w:fill="FFFFFF"/>
            <w:vAlign w:val="center"/>
          </w:tcPr>
          <w:p>
            <w:pPr>
              <w:spacing w:line="400" w:lineRule="exact"/>
              <w:jc w:val="center"/>
              <w:rPr>
                <w:rFonts w:hint="default" w:ascii="仿宋_GB2312" w:hAnsi="仿宋_GB2312" w:eastAsia="仿宋_GB2312" w:cs="仿宋_GB2312"/>
                <w:color w:val="auto"/>
                <w:sz w:val="24"/>
                <w:highlight w:val="none"/>
                <w:lang w:val="en-US" w:eastAsia="zh-CN"/>
              </w:rPr>
            </w:pPr>
            <w:r>
              <w:rPr>
                <w:rFonts w:hint="eastAsia" w:ascii="仿宋_GB2312" w:hAnsi="仿宋_GB2312" w:cs="仿宋_GB2312"/>
                <w:color w:val="auto"/>
                <w:sz w:val="24"/>
                <w:highlight w:val="none"/>
                <w:lang w:val="en-US" w:eastAsia="zh-CN"/>
              </w:rPr>
              <w:t>6.53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效益　</w:t>
            </w:r>
          </w:p>
        </w:tc>
        <w:tc>
          <w:tcPr>
            <w:tcW w:w="1478" w:type="dxa"/>
            <w:vMerge w:val="restart"/>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项目效益　</w:t>
            </w: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实施效益</w:t>
            </w:r>
          </w:p>
        </w:tc>
        <w:tc>
          <w:tcPr>
            <w:tcW w:w="3885" w:type="dxa"/>
            <w:tcBorders>
              <w:right w:val="single" w:color="auto" w:sz="4" w:space="0"/>
            </w:tcBorders>
            <w:shd w:val="clear" w:color="auto"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项目实施所产生的效益。</w:t>
            </w:r>
          </w:p>
        </w:tc>
        <w:tc>
          <w:tcPr>
            <w:tcW w:w="990" w:type="dxa"/>
            <w:tcBorders>
              <w:left w:val="single" w:color="auto" w:sz="4" w:space="0"/>
            </w:tcBorders>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20</w:t>
            </w:r>
          </w:p>
        </w:tc>
        <w:tc>
          <w:tcPr>
            <w:tcW w:w="874" w:type="dxa"/>
            <w:shd w:val="clear" w:color="auto"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满意度</w:t>
            </w:r>
          </w:p>
        </w:tc>
        <w:tc>
          <w:tcPr>
            <w:tcW w:w="3885" w:type="dxa"/>
            <w:tcBorders>
              <w:right w:val="single" w:color="auto" w:sz="4" w:space="0"/>
            </w:tcBorders>
            <w:shd w:val="clear" w:color="000000" w:fill="FFFFFF"/>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社会公众或服务对象对项目实施效果的满意程度。</w:t>
            </w:r>
          </w:p>
        </w:tc>
        <w:tc>
          <w:tcPr>
            <w:tcW w:w="990" w:type="dxa"/>
            <w:tcBorders>
              <w:left w:val="single" w:color="auto" w:sz="4" w:space="0"/>
            </w:tcBorders>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10</w:t>
            </w:r>
          </w:p>
        </w:tc>
        <w:tc>
          <w:tcPr>
            <w:tcW w:w="874" w:type="dxa"/>
            <w:shd w:val="clear" w:color="000000" w:fill="FFFFFF"/>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10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b/>
                <w:bCs/>
                <w:color w:val="auto"/>
                <w:kern w:val="0"/>
                <w:sz w:val="24"/>
                <w:highlight w:val="none"/>
              </w:rPr>
              <w:t>总分</w:t>
            </w:r>
          </w:p>
        </w:tc>
        <w:tc>
          <w:tcPr>
            <w:tcW w:w="3885" w:type="dxa"/>
            <w:tcBorders>
              <w:right w:val="single" w:color="auto" w:sz="4" w:space="0"/>
            </w:tcBorders>
            <w:shd w:val="clear" w:color="auto" w:fill="FFFFFF"/>
            <w:vAlign w:val="top"/>
          </w:tcPr>
          <w:p>
            <w:pPr>
              <w:widowControl/>
              <w:spacing w:line="400" w:lineRule="exact"/>
              <w:jc w:val="center"/>
              <w:rPr>
                <w:rFonts w:hint="eastAsia" w:ascii="仿宋_GB2312" w:hAnsi="仿宋_GB2312" w:cs="仿宋_GB2312"/>
                <w:color w:val="auto"/>
                <w:kern w:val="0"/>
                <w:sz w:val="24"/>
                <w:highlight w:val="none"/>
              </w:rPr>
            </w:pPr>
          </w:p>
        </w:tc>
        <w:tc>
          <w:tcPr>
            <w:tcW w:w="990" w:type="dxa"/>
            <w:tcBorders>
              <w:left w:val="single" w:color="auto" w:sz="4" w:space="0"/>
            </w:tcBorders>
            <w:shd w:val="clear" w:color="auto" w:fill="FFFFFF"/>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100</w:t>
            </w:r>
          </w:p>
        </w:tc>
        <w:tc>
          <w:tcPr>
            <w:tcW w:w="874" w:type="dxa"/>
            <w:shd w:val="clear" w:color="auto" w:fill="FFFFFF"/>
            <w:vAlign w:val="center"/>
          </w:tcPr>
          <w:p>
            <w:pPr>
              <w:widowControl/>
              <w:spacing w:line="400" w:lineRule="exact"/>
              <w:jc w:val="center"/>
              <w:rPr>
                <w:rFonts w:hint="default" w:ascii="仿宋_GB2312" w:hAnsi="仿宋_GB2312" w:eastAsia="仿宋_GB2312" w:cs="仿宋_GB2312"/>
                <w:color w:val="auto"/>
                <w:kern w:val="0"/>
                <w:sz w:val="24"/>
                <w:highlight w:val="none"/>
                <w:lang w:val="en-US" w:eastAsia="zh-CN"/>
              </w:rPr>
            </w:pPr>
            <w:r>
              <w:rPr>
                <w:rFonts w:hint="eastAsia" w:ascii="仿宋_GB2312" w:hAnsi="仿宋_GB2312" w:cs="仿宋_GB2312"/>
                <w:color w:val="auto"/>
                <w:kern w:val="0"/>
                <w:sz w:val="24"/>
                <w:highlight w:val="none"/>
                <w:lang w:val="en-US" w:eastAsia="zh-CN"/>
              </w:rPr>
              <w:t>98.61</w:t>
            </w:r>
          </w:p>
        </w:tc>
      </w:tr>
    </w:tbl>
    <w:p>
      <w:pPr>
        <w:spacing w:line="560" w:lineRule="exact"/>
        <w:rPr>
          <w:rFonts w:hint="eastAsia" w:ascii="仿宋_GB2312" w:hAnsi="仿宋_GB2312" w:cs="仿宋_GB2312"/>
          <w:color w:val="auto"/>
          <w:highlight w:val="none"/>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CCEAA9"/>
    <w:multiLevelType w:val="multilevel"/>
    <w:tmpl w:val="68CCEAA9"/>
    <w:lvl w:ilvl="0" w:tentative="0">
      <w:start w:val="1"/>
      <w:numFmt w:val="chineseCountingThousand"/>
      <w:pStyle w:val="30"/>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8CCEAB4"/>
    <w:multiLevelType w:val="singleLevel"/>
    <w:tmpl w:val="68CCEAB4"/>
    <w:lvl w:ilvl="0" w:tentative="0">
      <w:start w:val="3"/>
      <w:numFmt w:val="decimal"/>
      <w:suff w:val="nothing"/>
      <w:lvlText w:val="%1．"/>
      <w:lvlJc w:val="left"/>
      <w:rPr>
        <w:rFonts w:hint="default"/>
        <w:b/>
        <w:bCs/>
        <w:color w:val="auto"/>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GZlMjdkODEyNTc2ZDAwN2RkM2JkNjRmYzZhOGM2MzQifQ=="/>
  </w:docVars>
  <w:rsids>
    <w:rsidRoot w:val="00000000"/>
    <w:rsid w:val="1D5119C2"/>
    <w:rsid w:val="77925EA4"/>
  </w:rsids>
  <m:mathPr>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7"/>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18"/>
    <w:unhideWhenUsed/>
    <w:qFormat/>
    <w:uiPriority w:val="0"/>
    <w:pPr>
      <w:keepNext/>
      <w:keepLines/>
      <w:spacing w:before="260" w:after="260" w:line="416" w:lineRule="auto"/>
      <w:outlineLvl w:val="1"/>
    </w:pPr>
    <w:rPr>
      <w:rFonts w:ascii="Cambria" w:hAnsi="Cambria" w:eastAsia="宋体" w:cs="Times New Roman"/>
      <w:b/>
      <w:bCs/>
      <w:sz w:val="32"/>
      <w:szCs w:val="32"/>
    </w:rPr>
  </w:style>
  <w:style w:type="paragraph" w:styleId="2">
    <w:name w:val="heading 3"/>
    <w:basedOn w:val="1"/>
    <w:next w:val="1"/>
    <w:qFormat/>
    <w:uiPriority w:val="99"/>
    <w:pPr>
      <w:keepNext/>
      <w:keepLines/>
      <w:ind w:firstLine="883"/>
      <w:outlineLvl w:val="2"/>
    </w:pPr>
    <w:rPr>
      <w:b/>
      <w:bCs/>
      <w:kern w:val="0"/>
      <w:szCs w:val="32"/>
    </w:rPr>
  </w:style>
  <w:style w:type="paragraph" w:styleId="5">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rPr>
  </w:style>
  <w:style w:type="character" w:default="1" w:styleId="10">
    <w:name w:val="Default Paragraph Font"/>
    <w:semiHidden/>
    <w:uiPriority w:val="0"/>
  </w:style>
  <w:style w:type="table" w:default="1" w:styleId="12">
    <w:name w:val="Normal Table"/>
    <w:semiHidden/>
    <w:uiPriority w:val="0"/>
    <w:tblPr>
      <w:tblLayout w:type="fixed"/>
      <w:tblCellMar>
        <w:top w:w="0" w:type="dxa"/>
        <w:left w:w="108" w:type="dxa"/>
        <w:bottom w:w="0" w:type="dxa"/>
        <w:right w:w="108" w:type="dxa"/>
      </w:tblCellMar>
    </w:tblPr>
  </w:style>
  <w:style w:type="paragraph" w:styleId="6">
    <w:name w:val="Body Text"/>
    <w:basedOn w:val="1"/>
    <w:qFormat/>
    <w:uiPriority w:val="0"/>
  </w:style>
  <w:style w:type="paragraph" w:styleId="7">
    <w:name w:val="Balloon Text"/>
    <w:basedOn w:val="1"/>
    <w:link w:val="20"/>
    <w:uiPriority w:val="0"/>
    <w:rPr>
      <w:sz w:val="18"/>
      <w:szCs w:val="18"/>
    </w:rPr>
  </w:style>
  <w:style w:type="paragraph" w:styleId="8">
    <w:name w:val="footer"/>
    <w:basedOn w:val="1"/>
    <w:link w:val="21"/>
    <w:uiPriority w:val="0"/>
    <w:pPr>
      <w:tabs>
        <w:tab w:val="center" w:pos="4153"/>
        <w:tab w:val="right" w:pos="8306"/>
      </w:tabs>
      <w:snapToGrid w:val="0"/>
      <w:jc w:val="left"/>
    </w:pPr>
    <w:rPr>
      <w:sz w:val="18"/>
      <w:szCs w:val="18"/>
    </w:rPr>
  </w:style>
  <w:style w:type="paragraph" w:styleId="9">
    <w:name w:val="header"/>
    <w:basedOn w:val="1"/>
    <w:link w:val="22"/>
    <w:uiPriority w:val="0"/>
    <w:pPr>
      <w:pBdr>
        <w:bottom w:val="single" w:color="auto" w:sz="6" w:space="1"/>
      </w:pBdr>
      <w:tabs>
        <w:tab w:val="center" w:pos="4153"/>
        <w:tab w:val="right" w:pos="8306"/>
      </w:tabs>
      <w:snapToGrid w:val="0"/>
      <w:jc w:val="center"/>
    </w:pPr>
    <w:rPr>
      <w:sz w:val="18"/>
      <w:szCs w:val="18"/>
    </w:rPr>
  </w:style>
  <w:style w:type="character" w:styleId="11">
    <w:name w:val="Strong"/>
    <w:qFormat/>
    <w:uiPriority w:val="0"/>
    <w:rPr>
      <w:b/>
      <w:bCs/>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4">
    <w:name w:val="Comment Text"/>
    <w:basedOn w:val="1"/>
    <w:link w:val="19"/>
    <w:uiPriority w:val="0"/>
    <w:pPr>
      <w:jc w:val="left"/>
    </w:pPr>
  </w:style>
  <w:style w:type="paragraph" w:customStyle="1" w:styleId="15">
    <w:name w:val="Comment Subject"/>
    <w:basedOn w:val="14"/>
    <w:next w:val="14"/>
    <w:link w:val="23"/>
    <w:uiPriority w:val="0"/>
    <w:rPr>
      <w:b/>
      <w:bCs/>
    </w:rPr>
  </w:style>
  <w:style w:type="character" w:customStyle="1" w:styleId="16">
    <w:name w:val="Comment Reference"/>
    <w:uiPriority w:val="0"/>
    <w:rPr>
      <w:sz w:val="21"/>
      <w:szCs w:val="21"/>
    </w:rPr>
  </w:style>
  <w:style w:type="character" w:customStyle="1" w:styleId="17">
    <w:name w:val="标题 1 Char"/>
    <w:basedOn w:val="10"/>
    <w:link w:val="3"/>
    <w:uiPriority w:val="0"/>
    <w:rPr>
      <w:rFonts w:eastAsia="仿宋_GB2312"/>
      <w:b/>
      <w:bCs/>
      <w:kern w:val="44"/>
      <w:sz w:val="44"/>
      <w:szCs w:val="44"/>
    </w:rPr>
  </w:style>
  <w:style w:type="character" w:customStyle="1" w:styleId="18">
    <w:name w:val="标题 2 Char"/>
    <w:basedOn w:val="10"/>
    <w:link w:val="4"/>
    <w:semiHidden/>
    <w:uiPriority w:val="0"/>
    <w:rPr>
      <w:rFonts w:ascii="Cambria" w:hAnsi="Cambria" w:eastAsia="宋体" w:cs="Times New Roman"/>
      <w:b/>
      <w:bCs/>
      <w:kern w:val="2"/>
      <w:sz w:val="32"/>
      <w:szCs w:val="32"/>
    </w:rPr>
  </w:style>
  <w:style w:type="character" w:customStyle="1" w:styleId="19">
    <w:name w:val="批注文字 字符"/>
    <w:link w:val="14"/>
    <w:uiPriority w:val="0"/>
    <w:rPr>
      <w:rFonts w:eastAsia="仿宋_GB2312"/>
      <w:kern w:val="2"/>
      <w:sz w:val="30"/>
      <w:szCs w:val="24"/>
    </w:rPr>
  </w:style>
  <w:style w:type="character" w:customStyle="1" w:styleId="20">
    <w:name w:val="批注框文本 字符"/>
    <w:link w:val="7"/>
    <w:uiPriority w:val="0"/>
    <w:rPr>
      <w:rFonts w:eastAsia="仿宋_GB2312"/>
      <w:kern w:val="2"/>
      <w:sz w:val="18"/>
      <w:szCs w:val="18"/>
    </w:rPr>
  </w:style>
  <w:style w:type="character" w:customStyle="1" w:styleId="21">
    <w:name w:val="页脚 字符"/>
    <w:link w:val="8"/>
    <w:uiPriority w:val="0"/>
    <w:rPr>
      <w:rFonts w:eastAsia="仿宋_GB2312"/>
      <w:kern w:val="2"/>
      <w:sz w:val="18"/>
      <w:szCs w:val="18"/>
    </w:rPr>
  </w:style>
  <w:style w:type="character" w:customStyle="1" w:styleId="22">
    <w:name w:val="页眉 字符"/>
    <w:link w:val="9"/>
    <w:qFormat/>
    <w:uiPriority w:val="0"/>
    <w:rPr>
      <w:rFonts w:eastAsia="仿宋_GB2312"/>
      <w:kern w:val="2"/>
      <w:sz w:val="18"/>
      <w:szCs w:val="18"/>
    </w:rPr>
  </w:style>
  <w:style w:type="character" w:customStyle="1" w:styleId="23">
    <w:name w:val="批注主题 字符"/>
    <w:link w:val="15"/>
    <w:uiPriority w:val="0"/>
    <w:rPr>
      <w:rFonts w:eastAsia="仿宋_GB2312"/>
      <w:b/>
      <w:bCs/>
      <w:kern w:val="2"/>
      <w:sz w:val="30"/>
      <w:szCs w:val="24"/>
    </w:rPr>
  </w:style>
  <w:style w:type="character" w:customStyle="1" w:styleId="24">
    <w:name w:val="闻政正文 Char"/>
    <w:link w:val="25"/>
    <w:qFormat/>
    <w:uiPriority w:val="0"/>
    <w:rPr>
      <w:rFonts w:eastAsia="仿宋_GB2312"/>
      <w:sz w:val="28"/>
      <w:szCs w:val="28"/>
    </w:rPr>
  </w:style>
  <w:style w:type="paragraph" w:customStyle="1" w:styleId="25">
    <w:name w:val="闻政正文"/>
    <w:basedOn w:val="1"/>
    <w:link w:val="24"/>
    <w:qFormat/>
    <w:uiPriority w:val="0"/>
    <w:pPr>
      <w:spacing w:line="500" w:lineRule="exact"/>
      <w:ind w:firstLine="560" w:firstLineChars="200"/>
    </w:pPr>
    <w:rPr>
      <w:kern w:val="0"/>
      <w:sz w:val="28"/>
      <w:szCs w:val="28"/>
    </w:rPr>
  </w:style>
  <w:style w:type="character" w:customStyle="1" w:styleId="26">
    <w:name w:val="闻政-正文三级标题 Char"/>
    <w:link w:val="27"/>
    <w:uiPriority w:val="3"/>
    <w:rPr>
      <w:rFonts w:eastAsia="仿宋_GB2312"/>
      <w:b/>
      <w:snapToGrid w:val="0"/>
      <w:sz w:val="28"/>
      <w:szCs w:val="28"/>
    </w:rPr>
  </w:style>
  <w:style w:type="paragraph" w:customStyle="1" w:styleId="27">
    <w:name w:val="闻政-正文三级标题"/>
    <w:basedOn w:val="1"/>
    <w:next w:val="1"/>
    <w:link w:val="26"/>
    <w:qFormat/>
    <w:uiPriority w:val="3"/>
    <w:pPr>
      <w:widowControl/>
      <w:spacing w:before="120" w:after="60" w:line="500" w:lineRule="exact"/>
      <w:ind w:left="200" w:leftChars="200"/>
    </w:pPr>
    <w:rPr>
      <w:b/>
      <w:snapToGrid w:val="0"/>
      <w:kern w:val="0"/>
      <w:sz w:val="28"/>
      <w:szCs w:val="28"/>
    </w:rPr>
  </w:style>
  <w:style w:type="character" w:customStyle="1" w:styleId="28">
    <w:name w:val="Body text|1_"/>
    <w:link w:val="29"/>
    <w:uiPriority w:val="0"/>
    <w:rPr>
      <w:rFonts w:ascii="宋体" w:hAnsi="宋体" w:cs="宋体"/>
      <w:kern w:val="2"/>
      <w:sz w:val="30"/>
      <w:szCs w:val="30"/>
      <w:lang w:val="zh-TW" w:eastAsia="zh-TW" w:bidi="zh-TW"/>
    </w:rPr>
  </w:style>
  <w:style w:type="paragraph" w:customStyle="1" w:styleId="29">
    <w:name w:val="Body text|1"/>
    <w:basedOn w:val="1"/>
    <w:link w:val="28"/>
    <w:qFormat/>
    <w:uiPriority w:val="0"/>
    <w:pPr>
      <w:spacing w:line="420" w:lineRule="auto"/>
      <w:ind w:firstLine="400"/>
    </w:pPr>
    <w:rPr>
      <w:rFonts w:ascii="宋体" w:hAnsi="宋体" w:eastAsia="宋体" w:cs="宋体"/>
      <w:szCs w:val="30"/>
      <w:lang w:val="zh-TW" w:eastAsia="zh-TW" w:bidi="zh-TW"/>
    </w:rPr>
  </w:style>
  <w:style w:type="paragraph" w:customStyle="1" w:styleId="30">
    <w:name w:val="标题2"/>
    <w:basedOn w:val="4"/>
    <w:qFormat/>
    <w:uiPriority w:val="0"/>
    <w:pPr>
      <w:numPr>
        <w:ilvl w:val="0"/>
        <w:numId w:val="1"/>
      </w:numPr>
      <w:spacing w:before="120" w:after="120" w:line="500" w:lineRule="exact"/>
    </w:pPr>
    <w:rPr>
      <w:rFonts w:ascii="仿宋_GB2312" w:eastAsia="仿宋_GB2312" w:cs="Times New Roman"/>
    </w:rPr>
  </w:style>
  <w:style w:type="paragraph" w:customStyle="1" w:styleId="31">
    <w:name w:val="标题1"/>
    <w:basedOn w:val="3"/>
    <w:next w:val="1"/>
    <w:qFormat/>
    <w:uiPriority w:val="0"/>
    <w:pPr>
      <w:spacing w:before="120" w:after="120" w:line="500" w:lineRule="exact"/>
      <w:ind w:firstLine="200" w:firstLineChars="200"/>
    </w:pPr>
    <w:rPr>
      <w:rFonts w:eastAsia="黑体"/>
      <w:sz w:val="32"/>
      <w:szCs w:val="32"/>
    </w:rPr>
  </w:style>
  <w:style w:type="paragraph" w:customStyle="1" w:styleId="32">
    <w:name w:val="Other|1"/>
    <w:basedOn w:val="1"/>
    <w:qFormat/>
    <w:uiPriority w:val="0"/>
    <w:pPr>
      <w:spacing w:line="420" w:lineRule="auto"/>
      <w:ind w:firstLine="400"/>
    </w:pPr>
    <w:rPr>
      <w:rFonts w:ascii="宋体" w:hAnsi="宋体" w:eastAsia="宋体" w:cs="宋体"/>
      <w:szCs w:val="30"/>
      <w:lang w:val="zh-TW" w:eastAsia="zh-TW" w:bidi="zh-TW"/>
    </w:rPr>
  </w:style>
  <w:style w:type="paragraph" w:customStyle="1" w:styleId="33">
    <w:name w:val="List Paragraph"/>
    <w:basedOn w:val="1"/>
    <w:qFormat/>
    <w:uiPriority w:val="34"/>
    <w:pPr>
      <w:ind w:firstLine="420" w:firstLineChars="200"/>
    </w:pPr>
    <w:rPr>
      <w:rFonts w:ascii="Calibri" w:hAnsi="Calibri" w:eastAsia="宋体" w:cs="Times New Roman"/>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7858B9D3AA0B43AFBD3F50890064C2D9_13</vt:lpwstr>
  </property>
  <property fmtid="{D5CDD505-2E9C-101B-9397-08002B2CF9AE}" pid="4" name="KSOTemplateDocerSaveRecord">
    <vt:lpwstr>eyJoZGlkIjoiYzZkNzQ4ZWFiZmQ4NTRhOWRkZTk3YTMwMjlmMmZhYmUiLCJ1c2VySWQiOiI1NzgxMjU4NDIifQ==</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3b87546-962d-4d9d-a76a-4773229b06f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20</Pages>
  <Words>8690</Words>
  <Characters>9049</Characters>
  <Lines>56</Lines>
  <Paragraphs>15</Paragraphs>
  <TotalTime>28</TotalTime>
  <ScaleCrop>false</ScaleCrop>
  <LinksUpToDate>false</LinksUpToDate>
  <CharactersWithSpaces>9059</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2020-05-07T10:25:00Z</dcterms:created>
  <dc:creator>chenliangpingcz</dc:creator>
  <cp:lastModifiedBy>Administrator</cp:lastModifiedBy>
  <dcterms:modified xsi:type="dcterms:W3CDTF">2025-09-19T05:34:13Z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7858B9D3AA0B43AFBD3F50890064C2D9_13</vt:lpwstr>
  </property>
  <property fmtid="{D5CDD505-2E9C-101B-9397-08002B2CF9AE}" pid="4" name="KSOTemplateDocerSaveRecord">
    <vt:lpwstr>eyJoZGlkIjoiYzZkNzQ4ZWFiZmQ4NTRhOWRkZTk3YTMwMjlmMmZhYmUiLCJ1c2VySWQiOiI1NzgxMjU4NDIifQ_x003D__x003D_</vt:lpwstr>
  </property>
</Properties>
</file>