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方正小标宋_GBK" w:hAnsi="黑体" w:eastAsia="方正小标宋_GBK" w:cs="仿宋_GB2312"/>
          <w:bCs/>
          <w:color w:val="auto"/>
          <w:kern w:val="0"/>
          <w:sz w:val="44"/>
          <w:szCs w:val="44"/>
          <w:highlight w:val="none"/>
        </w:rPr>
      </w:pPr>
      <w:r>
        <w:rPr>
          <w:rFonts w:hint="eastAsia" w:ascii="方正小标宋_GBK" w:hAnsi="黑体" w:eastAsia="方正小标宋_GBK" w:cs="仿宋_GB2312"/>
          <w:bCs/>
          <w:color w:val="auto"/>
          <w:kern w:val="0"/>
          <w:sz w:val="44"/>
          <w:szCs w:val="44"/>
          <w:highlight w:val="none"/>
          <w:lang w:eastAsia="zh-CN"/>
        </w:rPr>
        <w:t>2024年城乡义务教育补助经费项目（校舍安全保障）</w:t>
      </w:r>
      <w:r>
        <w:rPr>
          <w:rFonts w:hint="eastAsia" w:ascii="方正小标宋_GBK" w:hAnsi="黑体" w:eastAsia="方正小标宋_GBK" w:cs="仿宋_GB2312"/>
          <w:bCs/>
          <w:color w:val="auto"/>
          <w:kern w:val="0"/>
          <w:sz w:val="44"/>
          <w:szCs w:val="44"/>
          <w:highlight w:val="none"/>
        </w:rPr>
        <w:t>支出绩效评价报告</w:t>
      </w:r>
    </w:p>
    <w:p>
      <w:pPr>
        <w:spacing w:line="560" w:lineRule="exact"/>
        <w:jc w:val="center"/>
        <w:rPr>
          <w:rFonts w:hint="eastAsia" w:ascii="方正小标宋_GBK" w:hAnsi="黑体" w:eastAsia="方正小标宋_GBK" w:cs="仿宋_GB2312"/>
          <w:color w:val="auto"/>
          <w:kern w:val="0"/>
          <w:sz w:val="44"/>
          <w:szCs w:val="44"/>
          <w:highlight w:val="none"/>
        </w:rPr>
      </w:pPr>
    </w:p>
    <w:p>
      <w:pPr>
        <w:spacing w:line="560" w:lineRule="exact"/>
        <w:jc w:val="center"/>
        <w:rPr>
          <w:rFonts w:hint="eastAsia" w:ascii="方正小标宋_GBK" w:hAnsi="黑体" w:eastAsia="方正小标宋_GBK" w:cs="仿宋_GB2312"/>
          <w:bCs/>
          <w:color w:val="auto"/>
          <w:sz w:val="44"/>
          <w:szCs w:val="44"/>
          <w:highlight w:val="none"/>
        </w:rPr>
      </w:pPr>
      <w:r>
        <w:rPr>
          <w:rFonts w:hint="eastAsia" w:ascii="方正小标宋_GBK" w:hAnsi="黑体" w:eastAsia="方正小标宋_GBK" w:cs="仿宋_GB2312"/>
          <w:bCs/>
          <w:color w:val="auto"/>
          <w:sz w:val="44"/>
          <w:szCs w:val="44"/>
          <w:highlight w:val="none"/>
        </w:rPr>
        <w:t>（</w:t>
      </w:r>
      <w:r>
        <w:rPr>
          <w:rFonts w:hint="eastAsia" w:ascii="方正小标宋_GBK" w:hAnsi="黑体" w:eastAsia="方正小标宋_GBK" w:cs="仿宋_GB2312"/>
          <w:bCs/>
          <w:color w:val="auto"/>
          <w:sz w:val="44"/>
          <w:szCs w:val="44"/>
          <w:highlight w:val="none"/>
          <w:lang w:eastAsia="zh-CN"/>
        </w:rPr>
        <w:t>202</w:t>
      </w:r>
      <w:r>
        <w:rPr>
          <w:rFonts w:hint="eastAsia" w:ascii="方正小标宋_GBK" w:hAnsi="黑体" w:eastAsia="方正小标宋_GBK" w:cs="仿宋_GB2312"/>
          <w:bCs/>
          <w:color w:val="auto"/>
          <w:sz w:val="44"/>
          <w:szCs w:val="44"/>
          <w:highlight w:val="none"/>
          <w:lang w:val="en-US" w:eastAsia="zh-CN"/>
        </w:rPr>
        <w:t>4</w:t>
      </w:r>
      <w:r>
        <w:rPr>
          <w:rFonts w:hint="eastAsia" w:ascii="方正小标宋_GBK" w:hAnsi="黑体" w:eastAsia="方正小标宋_GBK" w:cs="仿宋_GB2312"/>
          <w:bCs/>
          <w:color w:val="auto"/>
          <w:sz w:val="44"/>
          <w:szCs w:val="44"/>
          <w:highlight w:val="none"/>
        </w:rPr>
        <w:t>年度）</w:t>
      </w: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rPr>
          <w:rFonts w:hint="eastAsia" w:ascii="黑体" w:hAnsi="黑体" w:eastAsia="黑体" w:cs="仿宋_GB2312"/>
          <w:color w:val="auto"/>
          <w:kern w:val="0"/>
          <w:sz w:val="32"/>
          <w:szCs w:val="32"/>
          <w:highlight w:val="none"/>
          <w:lang w:eastAsia="zh-CN"/>
        </w:rPr>
      </w:pPr>
      <w:r>
        <w:rPr>
          <w:rFonts w:hint="eastAsia" w:ascii="黑体" w:hAnsi="黑体" w:eastAsia="黑体" w:cs="仿宋_GB2312"/>
          <w:color w:val="auto"/>
          <w:kern w:val="0"/>
          <w:sz w:val="32"/>
          <w:szCs w:val="32"/>
          <w:highlight w:val="none"/>
        </w:rPr>
        <w:t>项目名称：</w:t>
      </w:r>
      <w:r>
        <w:rPr>
          <w:rFonts w:hint="eastAsia" w:ascii="黑体" w:hAnsi="黑体" w:eastAsia="黑体" w:cs="仿宋_GB2312"/>
          <w:color w:val="auto"/>
          <w:kern w:val="0"/>
          <w:sz w:val="32"/>
          <w:szCs w:val="32"/>
          <w:highlight w:val="none"/>
          <w:lang w:eastAsia="zh-CN"/>
        </w:rPr>
        <w:t>2024年城乡义务教育补助经费项目（校舍安全保障）</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lang w:eastAsia="zh-CN"/>
        </w:rPr>
      </w:pPr>
      <w:r>
        <w:rPr>
          <w:rFonts w:hint="eastAsia" w:ascii="黑体" w:hAnsi="黑体" w:eastAsia="黑体" w:cs="仿宋_GB2312"/>
          <w:color w:val="auto"/>
          <w:kern w:val="0"/>
          <w:sz w:val="32"/>
          <w:szCs w:val="32"/>
          <w:highlight w:val="none"/>
        </w:rPr>
        <w:t>项目单位：</w:t>
      </w:r>
      <w:r>
        <w:rPr>
          <w:rFonts w:hint="eastAsia" w:ascii="黑体" w:hAnsi="黑体" w:eastAsia="黑体" w:cs="仿宋_GB2312"/>
          <w:color w:val="auto"/>
          <w:kern w:val="0"/>
          <w:sz w:val="32"/>
          <w:szCs w:val="32"/>
          <w:highlight w:val="none"/>
          <w:lang w:eastAsia="zh-CN"/>
        </w:rPr>
        <w:t>阿图什市教育局</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lang w:eastAsia="zh-CN"/>
        </w:rPr>
      </w:pPr>
      <w:r>
        <w:rPr>
          <w:rFonts w:hint="eastAsia" w:ascii="黑体" w:hAnsi="黑体" w:eastAsia="黑体" w:cs="仿宋_GB2312"/>
          <w:color w:val="auto"/>
          <w:kern w:val="0"/>
          <w:sz w:val="32"/>
          <w:szCs w:val="32"/>
          <w:highlight w:val="none"/>
        </w:rPr>
        <w:t>主管部门：</w:t>
      </w:r>
      <w:r>
        <w:rPr>
          <w:rFonts w:hint="eastAsia" w:ascii="黑体" w:hAnsi="黑体" w:eastAsia="黑体" w:cs="仿宋_GB2312"/>
          <w:color w:val="auto"/>
          <w:kern w:val="0"/>
          <w:sz w:val="32"/>
          <w:szCs w:val="32"/>
          <w:highlight w:val="none"/>
          <w:lang w:eastAsia="zh-CN"/>
        </w:rPr>
        <w:t>阿图什市教育局</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p>
    <w:p>
      <w:pPr>
        <w:spacing w:line="560" w:lineRule="exact"/>
        <w:jc w:val="center"/>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lang w:eastAsia="zh-CN"/>
        </w:rPr>
        <w:t>202</w:t>
      </w:r>
      <w:r>
        <w:rPr>
          <w:rFonts w:hint="eastAsia" w:ascii="黑体" w:hAnsi="黑体" w:eastAsia="黑体" w:cs="仿宋_GB2312"/>
          <w:color w:val="auto"/>
          <w:sz w:val="32"/>
          <w:szCs w:val="32"/>
          <w:highlight w:val="none"/>
          <w:lang w:val="en-US" w:eastAsia="zh-CN"/>
        </w:rPr>
        <w:t>5</w:t>
      </w:r>
      <w:r>
        <w:rPr>
          <w:rFonts w:hint="eastAsia" w:ascii="黑体" w:hAnsi="黑体" w:eastAsia="黑体" w:cs="仿宋_GB2312"/>
          <w:color w:val="auto"/>
          <w:sz w:val="32"/>
          <w:szCs w:val="32"/>
          <w:highlight w:val="none"/>
        </w:rPr>
        <w:t>年</w:t>
      </w:r>
      <w:r>
        <w:rPr>
          <w:rFonts w:hint="eastAsia" w:ascii="黑体" w:hAnsi="黑体" w:eastAsia="黑体" w:cs="仿宋_GB2312"/>
          <w:color w:val="auto"/>
          <w:sz w:val="32"/>
          <w:szCs w:val="32"/>
          <w:highlight w:val="none"/>
          <w:lang w:val="en-US" w:eastAsia="zh-CN"/>
        </w:rPr>
        <w:t>4</w:t>
      </w:r>
      <w:r>
        <w:rPr>
          <w:rFonts w:hint="eastAsia" w:ascii="黑体" w:hAnsi="黑体" w:eastAsia="黑体" w:cs="仿宋_GB2312"/>
          <w:color w:val="auto"/>
          <w:sz w:val="32"/>
          <w:szCs w:val="32"/>
          <w:highlight w:val="none"/>
        </w:rPr>
        <w:t>月</w:t>
      </w:r>
      <w:r>
        <w:rPr>
          <w:rFonts w:hint="eastAsia" w:ascii="黑体" w:hAnsi="黑体" w:eastAsia="黑体" w:cs="仿宋_GB2312"/>
          <w:color w:val="auto"/>
          <w:sz w:val="32"/>
          <w:szCs w:val="32"/>
          <w:highlight w:val="none"/>
          <w:lang w:val="en-US" w:eastAsia="zh-CN"/>
        </w:rPr>
        <w:t>10</w:t>
      </w:r>
      <w:r>
        <w:rPr>
          <w:rFonts w:hint="eastAsia" w:ascii="黑体" w:hAnsi="黑体" w:eastAsia="黑体" w:cs="仿宋_GB2312"/>
          <w:color w:val="auto"/>
          <w:sz w:val="32"/>
          <w:szCs w:val="32"/>
          <w:highlight w:val="none"/>
        </w:rPr>
        <w:t>日</w:t>
      </w: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napToGrid w:val="0"/>
        <w:spacing w:line="560" w:lineRule="exact"/>
        <w:jc w:val="center"/>
        <w:rPr>
          <w:rFonts w:hint="eastAsia" w:ascii="方正小标宋_GBK" w:hAnsi="仿宋_GB2312" w:eastAsia="方正小标宋_GBK" w:cs="仿宋_GB2312"/>
          <w:bCs/>
          <w:color w:val="auto"/>
          <w:sz w:val="44"/>
          <w:szCs w:val="44"/>
          <w:highlight w:val="none"/>
        </w:rPr>
      </w:pPr>
      <w:r>
        <w:rPr>
          <w:rFonts w:hint="eastAsia" w:ascii="方正小标宋_GBK" w:hAnsi="仿宋_GB2312" w:eastAsia="方正小标宋_GBK" w:cs="仿宋_GB2312"/>
          <w:bCs/>
          <w:color w:val="auto"/>
          <w:sz w:val="44"/>
          <w:szCs w:val="44"/>
          <w:highlight w:val="none"/>
          <w:lang w:eastAsia="zh-CN"/>
        </w:rPr>
        <w:t>2024年城乡义务教育补助经费项目（校舍安全保障）</w:t>
      </w:r>
      <w:r>
        <w:rPr>
          <w:rFonts w:hint="eastAsia" w:ascii="方正小标宋_GBK" w:hAnsi="仿宋_GB2312" w:eastAsia="方正小标宋_GBK" w:cs="仿宋_GB2312"/>
          <w:bCs/>
          <w:color w:val="auto"/>
          <w:sz w:val="44"/>
          <w:szCs w:val="44"/>
          <w:highlight w:val="none"/>
        </w:rPr>
        <w:t>支出绩效评价报告</w:t>
      </w:r>
    </w:p>
    <w:p>
      <w:pPr>
        <w:snapToGrid w:val="0"/>
        <w:spacing w:line="560" w:lineRule="exact"/>
        <w:jc w:val="center"/>
        <w:rPr>
          <w:rFonts w:hint="eastAsia" w:ascii="仿宋_GB2312" w:hAnsi="仿宋_GB2312" w:cs="仿宋_GB2312"/>
          <w:color w:val="auto"/>
          <w:szCs w:val="30"/>
          <w:highlight w:val="none"/>
        </w:rPr>
      </w:pPr>
    </w:p>
    <w:p>
      <w:pPr>
        <w:snapToGrid w:val="0"/>
        <w:spacing w:line="560" w:lineRule="exact"/>
        <w:ind w:firstLine="640" w:firstLineChars="200"/>
        <w:rPr>
          <w:rFonts w:hint="eastAsia" w:ascii="黑体" w:hAnsi="黑体" w:eastAsia="黑体" w:cs="仿宋_GB2312"/>
          <w:bCs/>
          <w:color w:val="auto"/>
          <w:sz w:val="32"/>
          <w:szCs w:val="32"/>
          <w:highlight w:val="none"/>
        </w:rPr>
      </w:pPr>
      <w:r>
        <w:rPr>
          <w:rFonts w:hint="eastAsia" w:ascii="黑体" w:hAnsi="黑体" w:eastAsia="黑体" w:cs="仿宋_GB2312"/>
          <w:bCs/>
          <w:color w:val="auto"/>
          <w:sz w:val="32"/>
          <w:szCs w:val="32"/>
          <w:highlight w:val="none"/>
        </w:rPr>
        <w:t>一、基本情况</w:t>
      </w:r>
    </w:p>
    <w:p>
      <w:pPr>
        <w:snapToGrid w:val="0"/>
        <w:spacing w:line="560" w:lineRule="exact"/>
        <w:ind w:firstLine="643" w:firstLineChars="200"/>
        <w:outlineLvl w:val="0"/>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（一）项目概况</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1．项目背景</w:t>
      </w:r>
    </w:p>
    <w:p>
      <w:pPr>
        <w:snapToGrid w:val="0"/>
        <w:spacing w:line="560" w:lineRule="exact"/>
        <w:ind w:firstLine="800" w:firstLineChars="250"/>
        <w:outlineLvl w:val="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本项目根据《关于提前下达2024年城乡义务教育补助经费预算(中央直达资金)的通知》(新财教(2023〕243号)，《关于提前下达2024年城乡义务教育补助经费预算（中央直达资金）的通知》克财教【2023】52号政策</w:t>
      </w:r>
      <w:r>
        <w:rPr>
          <w:rFonts w:hint="eastAsia" w:ascii="仿宋_GB2312" w:hAnsi="仿宋_GB2312" w:cs="仿宋_GB2312"/>
          <w:color w:val="auto"/>
          <w:sz w:val="32"/>
          <w:szCs w:val="32"/>
          <w:highlight w:val="none"/>
          <w:lang w:val="en-US" w:eastAsia="zh-CN"/>
        </w:rPr>
        <w:t>要求实施</w:t>
      </w:r>
      <w:r>
        <w:rPr>
          <w:rFonts w:hint="eastAsia" w:ascii="仿宋_GB2312" w:hAnsi="仿宋_GB2312" w:cs="仿宋_GB2312"/>
          <w:color w:val="auto"/>
          <w:sz w:val="32"/>
          <w:szCs w:val="32"/>
          <w:highlight w:val="none"/>
        </w:rPr>
        <w:t>，组织学校做好家庭经济困难学生认定和生活补助发放工作，提高资助的精准度，使家庭经济困难学生安心完成学业。合理安排学校公用经费，保障其正常教育教学。通过实施本项目</w:t>
      </w:r>
      <w:r>
        <w:rPr>
          <w:rFonts w:hint="eastAsia" w:ascii="仿宋_GB2312" w:hAnsi="仿宋_GB2312" w:cs="仿宋_GB2312"/>
          <w:color w:val="auto"/>
          <w:sz w:val="32"/>
          <w:szCs w:val="32"/>
          <w:highlight w:val="none"/>
          <w:lang w:val="en-US" w:eastAsia="zh-CN"/>
        </w:rPr>
        <w:t>有效</w:t>
      </w:r>
      <w:r>
        <w:rPr>
          <w:rFonts w:hint="eastAsia" w:ascii="仿宋_GB2312" w:hAnsi="仿宋_GB2312" w:cs="仿宋_GB2312"/>
          <w:color w:val="auto"/>
          <w:sz w:val="32"/>
          <w:szCs w:val="32"/>
          <w:highlight w:val="none"/>
        </w:rPr>
        <w:t>保障</w:t>
      </w:r>
      <w:r>
        <w:rPr>
          <w:rFonts w:hint="eastAsia" w:ascii="仿宋_GB2312" w:hAnsi="仿宋_GB2312" w:cs="仿宋_GB2312"/>
          <w:color w:val="auto"/>
          <w:sz w:val="32"/>
          <w:szCs w:val="32"/>
          <w:highlight w:val="none"/>
          <w:lang w:val="en-US" w:eastAsia="zh-CN"/>
        </w:rPr>
        <w:t>学校</w:t>
      </w:r>
      <w:r>
        <w:rPr>
          <w:rFonts w:hint="eastAsia" w:ascii="仿宋_GB2312" w:hAnsi="仿宋_GB2312" w:cs="仿宋_GB2312"/>
          <w:color w:val="auto"/>
          <w:sz w:val="32"/>
          <w:szCs w:val="32"/>
          <w:highlight w:val="none"/>
        </w:rPr>
        <w:t>正常开展教育教学工作，做好抗震工作，确保学生安全，提高教学工作质量。</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2．主要内容及实施情况</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（1）主要内容</w:t>
      </w:r>
    </w:p>
    <w:p>
      <w:pPr>
        <w:snapToGrid w:val="0"/>
        <w:spacing w:line="560" w:lineRule="exact"/>
        <w:ind w:firstLine="800" w:firstLineChars="250"/>
        <w:outlineLvl w:val="0"/>
        <w:rPr>
          <w:rFonts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项目实施内容：</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根据《关于提前下达2024年城乡义务教育补助经费预算（中央直达资金）的通知》克财教【2023】52号文件，下达资金1230万元，用于21所学校进行校舍维修改造；通过项目的实施保障正常开展教育教学工作，做好抗震工作，确保学生安全，提高教学工作质量；</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（2）实施情况：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实施主体：本项目的主管部门为</w:t>
      </w:r>
      <w:r>
        <w:rPr>
          <w:rFonts w:hint="eastAsia" w:ascii="仿宋_GB2312" w:hAnsi="仿宋_GB2312" w:cs="仿宋_GB2312"/>
          <w:bCs/>
          <w:color w:val="auto"/>
          <w:sz w:val="32"/>
          <w:szCs w:val="30"/>
          <w:highlight w:val="none"/>
          <w:lang w:eastAsia="zh-CN"/>
        </w:rPr>
        <w:t>阿图什市教育局</w:t>
      </w:r>
      <w:r>
        <w:rPr>
          <w:rFonts w:hint="eastAsia" w:ascii="仿宋_GB2312" w:hAnsi="仿宋_GB2312" w:cs="仿宋_GB2312"/>
          <w:bCs/>
          <w:color w:val="auto"/>
          <w:sz w:val="32"/>
          <w:szCs w:val="30"/>
          <w:highlight w:val="none"/>
        </w:rPr>
        <w:t>,实施单位为</w:t>
      </w:r>
      <w:r>
        <w:rPr>
          <w:rFonts w:hint="eastAsia" w:ascii="仿宋_GB2312" w:hAnsi="仿宋_GB2312" w:cs="仿宋_GB2312"/>
          <w:bCs/>
          <w:color w:val="auto"/>
          <w:sz w:val="32"/>
          <w:szCs w:val="30"/>
          <w:highlight w:val="none"/>
          <w:lang w:eastAsia="zh-CN"/>
        </w:rPr>
        <w:t>阿图什市教育局</w:t>
      </w:r>
      <w:r>
        <w:rPr>
          <w:rFonts w:hint="eastAsia" w:ascii="仿宋_GB2312" w:hAnsi="仿宋_GB2312" w:cs="仿宋_GB2312"/>
          <w:bCs/>
          <w:color w:val="auto"/>
          <w:sz w:val="32"/>
          <w:szCs w:val="30"/>
          <w:highlight w:val="none"/>
        </w:rPr>
        <w:t>，主要职责</w:t>
      </w:r>
      <w:r>
        <w:rPr>
          <w:rFonts w:hint="eastAsia" w:ascii="仿宋_GB2312" w:hAnsi="仿宋_GB2312" w:cs="仿宋_GB2312"/>
          <w:bCs/>
          <w:color w:val="auto"/>
          <w:sz w:val="32"/>
          <w:szCs w:val="30"/>
          <w:highlight w:val="none"/>
          <w:lang w:val="en-US" w:eastAsia="zh-CN"/>
        </w:rPr>
        <w:t>统筹安排维修经费，指导学校合理使用维修资金，对资金的使用情况进行监督和检查，确保资金专款专用，提高资金使用效益，协调相关部门，为学校维修项目提供支持和保障，项目实施过程中严格按照实施方案进行实施并及时进行监督管理，项目实施后进行及时验收及后期管理</w:t>
      </w:r>
      <w:r>
        <w:rPr>
          <w:rFonts w:hint="eastAsia" w:ascii="仿宋_GB2312" w:hAnsi="仿宋_GB2312" w:cs="仿宋_GB2312"/>
          <w:bCs/>
          <w:color w:val="auto"/>
          <w:sz w:val="32"/>
          <w:szCs w:val="30"/>
          <w:highlight w:val="none"/>
        </w:rPr>
        <w:t>。</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实施时间：</w:t>
      </w:r>
      <w:r>
        <w:rPr>
          <w:rFonts w:hint="eastAsia" w:ascii="仿宋_GB2312" w:hAnsi="仿宋_GB2312" w:cs="仿宋_GB2312"/>
          <w:bCs/>
          <w:color w:val="auto"/>
          <w:sz w:val="32"/>
          <w:szCs w:val="30"/>
          <w:highlight w:val="none"/>
          <w:lang w:eastAsia="zh-CN"/>
        </w:rPr>
        <w:t>202</w:t>
      </w:r>
      <w:r>
        <w:rPr>
          <w:rFonts w:hint="eastAsia" w:ascii="仿宋_GB2312" w:hAnsi="仿宋_GB2312" w:cs="仿宋_GB2312"/>
          <w:bCs/>
          <w:color w:val="auto"/>
          <w:sz w:val="32"/>
          <w:szCs w:val="30"/>
          <w:highlight w:val="none"/>
          <w:lang w:val="en-US" w:eastAsia="zh-CN"/>
        </w:rPr>
        <w:t>4</w:t>
      </w:r>
      <w:r>
        <w:rPr>
          <w:rFonts w:hint="eastAsia" w:ascii="仿宋_GB2312" w:hAnsi="仿宋_GB2312" w:cs="仿宋_GB2312"/>
          <w:bCs/>
          <w:color w:val="auto"/>
          <w:sz w:val="32"/>
          <w:szCs w:val="30"/>
          <w:highlight w:val="none"/>
        </w:rPr>
        <w:t>年</w:t>
      </w:r>
      <w:r>
        <w:rPr>
          <w:rFonts w:hint="eastAsia" w:ascii="仿宋_GB2312" w:hAnsi="仿宋_GB2312" w:cs="仿宋_GB2312"/>
          <w:bCs/>
          <w:color w:val="auto"/>
          <w:sz w:val="32"/>
          <w:szCs w:val="30"/>
          <w:highlight w:val="none"/>
          <w:lang w:val="en-US" w:eastAsia="zh-CN"/>
        </w:rPr>
        <w:t>1</w:t>
      </w:r>
      <w:r>
        <w:rPr>
          <w:rFonts w:hint="eastAsia" w:ascii="仿宋_GB2312" w:hAnsi="仿宋_GB2312" w:cs="仿宋_GB2312"/>
          <w:bCs/>
          <w:color w:val="auto"/>
          <w:sz w:val="32"/>
          <w:szCs w:val="30"/>
          <w:highlight w:val="none"/>
        </w:rPr>
        <w:t>月-</w:t>
      </w:r>
      <w:r>
        <w:rPr>
          <w:rFonts w:hint="eastAsia" w:ascii="仿宋_GB2312" w:hAnsi="仿宋_GB2312" w:cs="仿宋_GB2312"/>
          <w:bCs/>
          <w:color w:val="auto"/>
          <w:sz w:val="32"/>
          <w:szCs w:val="30"/>
          <w:highlight w:val="none"/>
          <w:lang w:val="en-US" w:eastAsia="zh-CN"/>
        </w:rPr>
        <w:t>12</w:t>
      </w:r>
      <w:r>
        <w:rPr>
          <w:rFonts w:hint="eastAsia" w:ascii="仿宋_GB2312" w:hAnsi="仿宋_GB2312" w:cs="仿宋_GB2312"/>
          <w:bCs/>
          <w:color w:val="auto"/>
          <w:sz w:val="32"/>
          <w:szCs w:val="30"/>
          <w:highlight w:val="none"/>
        </w:rPr>
        <w:t>月</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实施结果：</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本项目共计支出1151.81万元，用于21所学校进行校舍维修改造；通过实施本项目保障正常开展教育教学工作，做好抗震工作，确保学生安全，提高教学工作质量。</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3．资金投入和使用情况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1"/>
          <w:rFonts w:hint="eastAsia" w:ascii="仿宋_GB2312" w:hAnsi="仿宋_GB2312" w:cs="仿宋_GB2312"/>
          <w:b w:val="0"/>
          <w:bCs w:val="0"/>
          <w:color w:val="auto"/>
          <w:spacing w:val="-4"/>
          <w:sz w:val="32"/>
          <w:szCs w:val="30"/>
          <w:highlight w:val="none"/>
        </w:rPr>
      </w:pPr>
      <w:r>
        <w:rPr>
          <w:rStyle w:val="11"/>
          <w:rFonts w:hint="eastAsia" w:ascii="仿宋_GB2312" w:hAnsi="仿宋_GB2312" w:cs="仿宋_GB2312"/>
          <w:b w:val="0"/>
          <w:bCs w:val="0"/>
          <w:color w:val="auto"/>
          <w:spacing w:val="-4"/>
          <w:sz w:val="32"/>
          <w:szCs w:val="30"/>
          <w:highlight w:val="none"/>
        </w:rPr>
        <w:t>资金投入情况：本项目总投资</w:t>
      </w:r>
      <w:r>
        <w:rPr>
          <w:rStyle w:val="11"/>
          <w:rFonts w:hint="eastAsia" w:ascii="仿宋_GB2312" w:hAnsi="仿宋_GB2312" w:cs="仿宋_GB2312"/>
          <w:b w:val="0"/>
          <w:bCs w:val="0"/>
          <w:color w:val="auto"/>
          <w:spacing w:val="-4"/>
          <w:sz w:val="32"/>
          <w:szCs w:val="30"/>
          <w:highlight w:val="none"/>
          <w:lang w:val="en-US" w:eastAsia="zh-CN"/>
        </w:rPr>
        <w:t>1230万元</w:t>
      </w:r>
      <w:r>
        <w:rPr>
          <w:rStyle w:val="11"/>
          <w:rFonts w:hint="eastAsia" w:ascii="仿宋_GB2312" w:hAnsi="仿宋_GB2312" w:cs="仿宋_GB2312"/>
          <w:b w:val="0"/>
          <w:bCs w:val="0"/>
          <w:color w:val="auto"/>
          <w:spacing w:val="-4"/>
          <w:sz w:val="32"/>
          <w:szCs w:val="30"/>
          <w:highlight w:val="none"/>
        </w:rPr>
        <w:t>，资金来源为中央</w:t>
      </w:r>
      <w:r>
        <w:rPr>
          <w:rStyle w:val="11"/>
          <w:rFonts w:hint="eastAsia" w:ascii="仿宋_GB2312" w:hAnsi="仿宋_GB2312" w:cs="仿宋_GB2312"/>
          <w:b w:val="0"/>
          <w:bCs w:val="0"/>
          <w:color w:val="auto"/>
          <w:spacing w:val="-4"/>
          <w:sz w:val="32"/>
          <w:szCs w:val="30"/>
          <w:highlight w:val="none"/>
          <w:lang w:val="en-US" w:eastAsia="zh-CN"/>
        </w:rPr>
        <w:t>直达</w:t>
      </w:r>
      <w:r>
        <w:rPr>
          <w:rStyle w:val="11"/>
          <w:rFonts w:hint="eastAsia" w:ascii="仿宋_GB2312" w:hAnsi="仿宋_GB2312" w:cs="仿宋_GB2312"/>
          <w:b w:val="0"/>
          <w:bCs w:val="0"/>
          <w:color w:val="auto"/>
          <w:spacing w:val="-4"/>
          <w:sz w:val="32"/>
          <w:szCs w:val="30"/>
          <w:highlight w:val="none"/>
        </w:rPr>
        <w:t>资金。</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1"/>
          <w:rFonts w:hint="eastAsia" w:ascii="仿宋_GB2312" w:hAnsi="仿宋_GB2312" w:cs="仿宋_GB2312"/>
          <w:b w:val="0"/>
          <w:color w:val="auto"/>
          <w:spacing w:val="-4"/>
          <w:sz w:val="32"/>
          <w:szCs w:val="30"/>
          <w:highlight w:val="none"/>
        </w:rPr>
      </w:pPr>
      <w:r>
        <w:rPr>
          <w:rStyle w:val="11"/>
          <w:rFonts w:hint="eastAsia" w:ascii="仿宋_GB2312" w:hAnsi="仿宋_GB2312" w:cs="仿宋_GB2312"/>
          <w:b w:val="0"/>
          <w:color w:val="auto"/>
          <w:spacing w:val="-4"/>
          <w:sz w:val="32"/>
          <w:szCs w:val="30"/>
          <w:highlight w:val="none"/>
        </w:rPr>
        <w:t>资金使用情况：根据项目实施情况，项目资金实际支付</w:t>
      </w:r>
      <w:r>
        <w:rPr>
          <w:rStyle w:val="11"/>
          <w:rFonts w:hint="eastAsia" w:ascii="仿宋_GB2312" w:hAnsi="仿宋_GB2312" w:cs="仿宋_GB2312"/>
          <w:b w:val="0"/>
          <w:color w:val="auto"/>
          <w:spacing w:val="-4"/>
          <w:sz w:val="32"/>
          <w:szCs w:val="30"/>
          <w:highlight w:val="none"/>
          <w:lang w:eastAsia="zh-CN"/>
        </w:rPr>
        <w:t>1151.81万元</w:t>
      </w:r>
      <w:r>
        <w:rPr>
          <w:rStyle w:val="11"/>
          <w:rFonts w:hint="eastAsia" w:ascii="仿宋_GB2312" w:hAnsi="仿宋_GB2312" w:cs="仿宋_GB2312"/>
          <w:b w:val="0"/>
          <w:color w:val="auto"/>
          <w:spacing w:val="-4"/>
          <w:sz w:val="32"/>
          <w:szCs w:val="30"/>
          <w:highlight w:val="none"/>
        </w:rPr>
        <w:t>，资金执行率达到</w:t>
      </w:r>
      <w:r>
        <w:rPr>
          <w:rStyle w:val="11"/>
          <w:rFonts w:hint="eastAsia" w:ascii="仿宋_GB2312" w:hAnsi="仿宋_GB2312" w:cs="仿宋_GB2312"/>
          <w:b w:val="0"/>
          <w:color w:val="auto"/>
          <w:spacing w:val="-4"/>
          <w:sz w:val="32"/>
          <w:szCs w:val="30"/>
          <w:highlight w:val="none"/>
          <w:lang w:val="en-US" w:eastAsia="zh-CN"/>
        </w:rPr>
        <w:t>93.60%</w:t>
      </w:r>
      <w:r>
        <w:rPr>
          <w:rStyle w:val="11"/>
          <w:rFonts w:hint="eastAsia" w:ascii="仿宋_GB2312" w:hAnsi="仿宋_GB2312" w:cs="仿宋_GB2312"/>
          <w:b w:val="0"/>
          <w:color w:val="auto"/>
          <w:spacing w:val="-4"/>
          <w:sz w:val="32"/>
          <w:szCs w:val="30"/>
          <w:highlight w:val="none"/>
        </w:rPr>
        <w:t>。具体使用情况如下：</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1"/>
          <w:rFonts w:hint="eastAsia" w:ascii="仿宋_GB2312" w:eastAsia="仿宋_GB2312"/>
          <w:b w:val="0"/>
          <w:color w:val="auto"/>
          <w:spacing w:val="-4"/>
          <w:sz w:val="32"/>
          <w:highlight w:val="none"/>
          <w:lang w:val="en-US" w:eastAsia="zh-CN"/>
        </w:rPr>
      </w:pPr>
      <w:r>
        <w:rPr>
          <w:rStyle w:val="11"/>
          <w:rFonts w:hint="eastAsia" w:ascii="仿宋_GB2312"/>
          <w:b w:val="0"/>
          <w:color w:val="auto"/>
          <w:spacing w:val="-4"/>
          <w:sz w:val="32"/>
          <w:highlight w:val="none"/>
        </w:rPr>
        <w:t>校舍维修改造</w:t>
      </w:r>
      <w:r>
        <w:rPr>
          <w:rStyle w:val="11"/>
          <w:rFonts w:hint="eastAsia" w:ascii="仿宋_GB2312"/>
          <w:b w:val="0"/>
          <w:color w:val="auto"/>
          <w:spacing w:val="-4"/>
          <w:sz w:val="32"/>
          <w:highlight w:val="none"/>
          <w:lang w:val="en-US" w:eastAsia="zh-CN"/>
        </w:rPr>
        <w:t>费用</w:t>
      </w:r>
      <w:r>
        <w:rPr>
          <w:rStyle w:val="11"/>
          <w:rFonts w:hint="eastAsia" w:ascii="仿宋_GB2312"/>
          <w:b w:val="0"/>
          <w:color w:val="auto"/>
          <w:spacing w:val="-4"/>
          <w:sz w:val="32"/>
          <w:highlight w:val="none"/>
        </w:rPr>
        <w:t>1151.81</w:t>
      </w:r>
      <w:r>
        <w:rPr>
          <w:rStyle w:val="11"/>
          <w:rFonts w:hint="eastAsia" w:ascii="仿宋_GB2312"/>
          <w:b w:val="0"/>
          <w:color w:val="auto"/>
          <w:spacing w:val="-4"/>
          <w:sz w:val="32"/>
          <w:highlight w:val="none"/>
          <w:lang w:val="en-US" w:eastAsia="zh-CN"/>
        </w:rPr>
        <w:t>万元。</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3" w:firstLineChars="250"/>
        <w:jc w:val="left"/>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（二）项目绩效目标</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年度总体目标为：根据《关于提前下达2024年城乡义务教育补助经费预算（中央直达资金）的通知》克财教【2023】52号文件，下达资金1230万元，用于21所学校进行校舍维修改造；通过项目的实施保障正常开展教育教学工作，做好抗震工作，确保学生安全，提高教学工作质量；</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contextualSpacing/>
        <w:rPr>
          <w:rFonts w:hint="eastAsia" w:ascii="仿宋_GB2312" w:hAnsi="仿宋" w:eastAsia="仿宋_GB2312" w:cs="宋体"/>
          <w:color w:val="auto"/>
          <w:sz w:val="32"/>
          <w:szCs w:val="32"/>
          <w:highlight w:val="none"/>
          <w:lang w:eastAsia="zh-CN"/>
        </w:rPr>
      </w:pPr>
      <w:r>
        <w:rPr>
          <w:rFonts w:hint="eastAsia" w:ascii="仿宋_GB2312" w:hAnsi="仿宋_GB2312" w:cs="仿宋_GB2312"/>
          <w:color w:val="auto"/>
          <w:sz w:val="32"/>
          <w:highlight w:val="none"/>
        </w:rPr>
        <w:t>阶段性目标为：根据《关于提前下达2024年城乡义务教育补助经费预算（中央直达资金）的通知》克财教【2023】52号文件，下达资金1230万元，用于21所学校进行校舍维修改造；通过项目的实施保障正常开展教育教学工作，做好抗震工作，确保学生安全，提高教学工作质量</w:t>
      </w:r>
      <w:r>
        <w:rPr>
          <w:rFonts w:hint="eastAsia" w:ascii="仿宋_GB2312" w:hAnsi="仿宋_GB2312" w:cs="仿宋_GB2312"/>
          <w:color w:val="auto"/>
          <w:sz w:val="32"/>
          <w:highlight w:val="none"/>
          <w:lang w:eastAsia="zh-CN"/>
        </w:rPr>
        <w:t>。</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黑体" w:hAnsi="黑体" w:eastAsia="黑体" w:cs="仿宋_GB2312"/>
          <w:bCs/>
          <w:color w:val="auto"/>
          <w:sz w:val="32"/>
          <w:highlight w:val="none"/>
        </w:rPr>
      </w:pPr>
      <w:r>
        <w:rPr>
          <w:rFonts w:hint="eastAsia" w:ascii="黑体" w:hAnsi="黑体" w:eastAsia="黑体" w:cs="仿宋_GB2312"/>
          <w:bCs/>
          <w:color w:val="auto"/>
          <w:sz w:val="32"/>
          <w:highlight w:val="none"/>
        </w:rPr>
        <w:t>二、绩效评价工作开展情况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（一）绩效评价目的、对象和范围</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3" w:firstLineChars="200"/>
        <w:contextualSpacing/>
        <w:jc w:val="both"/>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1．绩效评价目的</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本次绩效评价遵循财政部《项目支出绩效评价管理办法》（财预〔</w:t>
      </w:r>
      <w:r>
        <w:rPr>
          <w:rFonts w:hint="eastAsia" w:ascii="仿宋_GB2312" w:hAnsi="仿宋_GB2312" w:eastAsia="仿宋_GB2312" w:cs="仿宋_GB2312"/>
          <w:color w:val="auto"/>
          <w:sz w:val="32"/>
          <w:szCs w:val="32"/>
          <w:highlight w:val="none"/>
          <w:lang w:eastAsia="zh-CN"/>
        </w:rPr>
        <w:t>202</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〕10号）和自治区财政厅</w:t>
      </w:r>
      <w:r>
        <w:rPr>
          <w:rFonts w:hint="eastAsia" w:ascii="仿宋_GB2312" w:hAnsi="仿宋_GB2312" w:eastAsia="仿宋_GB2312" w:cs="仿宋_GB2312"/>
          <w:color w:val="auto"/>
          <w:kern w:val="0"/>
          <w:sz w:val="32"/>
          <w:szCs w:val="32"/>
          <w:highlight w:val="none"/>
          <w:shd w:val="clear" w:color="auto" w:fill="FFFFFF"/>
        </w:rPr>
        <w:t>《自治区财政支出绩效评价管理暂行办法》（新财预〔2018〕189号）</w:t>
      </w:r>
      <w:r>
        <w:rPr>
          <w:rFonts w:hint="eastAsia" w:ascii="仿宋_GB2312" w:hAnsi="仿宋_GB2312" w:eastAsia="仿宋_GB2312" w:cs="仿宋_GB2312"/>
          <w:color w:val="auto"/>
          <w:sz w:val="32"/>
          <w:szCs w:val="32"/>
          <w:highlight w:val="none"/>
        </w:rPr>
        <w:t>等相关政策文件与规定，</w:t>
      </w:r>
      <w:r>
        <w:rPr>
          <w:rFonts w:hint="eastAsia" w:ascii="仿宋_GB2312" w:hAnsi="仿宋_GB2312" w:eastAsia="仿宋_GB2312" w:cs="仿宋_GB2312"/>
          <w:color w:val="auto"/>
          <w:sz w:val="32"/>
          <w:szCs w:val="32"/>
          <w:highlight w:val="none"/>
          <w:lang w:val="en-US" w:eastAsia="zh-CN"/>
        </w:rPr>
        <w:t>绩效评价</w:t>
      </w:r>
      <w:r>
        <w:rPr>
          <w:rFonts w:hint="eastAsia" w:ascii="仿宋_GB2312" w:hAnsi="仿宋_GB2312" w:eastAsia="仿宋_GB2312" w:cs="仿宋_GB2312"/>
          <w:color w:val="auto"/>
          <w:sz w:val="32"/>
          <w:szCs w:val="32"/>
          <w:highlight w:val="none"/>
        </w:rPr>
        <w:t>旨在评价</w:t>
      </w:r>
      <w:r>
        <w:rPr>
          <w:rFonts w:hint="eastAsia" w:ascii="仿宋_GB2312" w:hAnsi="仿宋_GB2312" w:eastAsia="仿宋_GB2312" w:cs="仿宋_GB2312"/>
          <w:color w:val="auto"/>
          <w:sz w:val="32"/>
          <w:szCs w:val="32"/>
          <w:highlight w:val="none"/>
          <w:lang w:eastAsia="zh-CN"/>
        </w:rPr>
        <w:t>本</w:t>
      </w:r>
      <w:r>
        <w:rPr>
          <w:rFonts w:hint="eastAsia" w:ascii="仿宋_GB2312" w:hAnsi="仿宋_GB2312" w:eastAsia="仿宋_GB2312" w:cs="仿宋_GB2312"/>
          <w:color w:val="auto"/>
          <w:sz w:val="32"/>
          <w:szCs w:val="32"/>
          <w:highlight w:val="none"/>
        </w:rPr>
        <w:t>项目前期审批、实施过程及实施效果，促进预算管理不断完善，加快绩效目标的实现，保证财政资金有效、合理使用，具体绩效评价的目的细分如下：</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提升财政资金的使用效能。</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2．绩效评价对象</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w:t>
      </w:r>
      <w:r>
        <w:rPr>
          <w:rFonts w:hint="eastAsia" w:ascii="仿宋_GB2312" w:hAnsi="仿宋_GB2312" w:cs="仿宋_GB2312"/>
          <w:color w:val="auto"/>
          <w:sz w:val="32"/>
          <w:szCs w:val="32"/>
          <w:highlight w:val="none"/>
          <w:lang w:eastAsia="zh-CN"/>
        </w:rPr>
        <w:t>2024年城乡义务教育补助经费项目（校舍安全保障）</w:t>
      </w:r>
      <w:r>
        <w:rPr>
          <w:rFonts w:hint="eastAsia" w:ascii="仿宋_GB2312" w:hAnsi="仿宋_GB2312" w:cs="仿宋_GB2312"/>
          <w:color w:val="auto"/>
          <w:sz w:val="32"/>
          <w:szCs w:val="32"/>
          <w:highlight w:val="none"/>
        </w:rPr>
        <w:t>从预算编制合理性、资金使用合规性、项目管理的规范性、实施情况、总体绩效目标、各项绩效指标完成情况以及预算执行情况进行科学性评价。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3．绩效评价范围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本次评价从项目决策（包括绩效目标、决策过程）、项目管理（包括项目资金、项目实施）、项目产出（包括项目产出数量、产出质量、产出时效和产出成本）项目效益四个维度进行评价。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楷体" w:hAnsi="楷体" w:eastAsia="楷体" w:cs="仿宋_GB2312"/>
          <w:b/>
          <w:bCs w:val="0"/>
          <w:color w:val="auto"/>
          <w:sz w:val="32"/>
          <w:highlight w:val="none"/>
        </w:rPr>
      </w:pPr>
      <w:r>
        <w:rPr>
          <w:rFonts w:hint="eastAsia" w:ascii="楷体" w:hAnsi="楷体" w:eastAsia="楷体" w:cs="仿宋_GB2312"/>
          <w:b/>
          <w:bCs w:val="0"/>
          <w:color w:val="auto"/>
          <w:sz w:val="32"/>
          <w:highlight w:val="none"/>
        </w:rPr>
        <w:t>（二）绩效评价原则、评价指标体系（附表说明）、评价方法、评价标准等。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eastAsia="仿宋_GB2312" w:cs="仿宋_GB2312"/>
          <w:b/>
          <w:color w:val="auto"/>
          <w:sz w:val="32"/>
          <w:highlight w:val="none"/>
          <w:lang w:eastAsia="zh-CN"/>
        </w:rPr>
      </w:pPr>
      <w:r>
        <w:rPr>
          <w:rFonts w:hint="eastAsia" w:ascii="仿宋_GB2312" w:hAnsi="仿宋" w:cs="宋体"/>
          <w:b/>
          <w:color w:val="auto"/>
          <w:sz w:val="32"/>
          <w:szCs w:val="32"/>
          <w:highlight w:val="none"/>
        </w:rPr>
        <w:t>1．</w:t>
      </w:r>
      <w:r>
        <w:rPr>
          <w:rFonts w:hint="eastAsia" w:ascii="仿宋_GB2312" w:hAnsi="仿宋_GB2312" w:cs="仿宋_GB2312"/>
          <w:b/>
          <w:color w:val="auto"/>
          <w:sz w:val="32"/>
          <w:highlight w:val="none"/>
        </w:rPr>
        <w:t>绩效评价原则</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（1）科学公正。绩效评价应当运用科学合理的方法，按照规范的程序，对项目绩效进行客观、公正的反映。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（3）激励约束。绩效评价结果</w:t>
      </w:r>
      <w:r>
        <w:rPr>
          <w:rFonts w:hint="eastAsia" w:ascii="仿宋_GB2312" w:hAnsi="仿宋_GB2312" w:cs="仿宋_GB2312"/>
          <w:color w:val="auto"/>
          <w:sz w:val="32"/>
          <w:highlight w:val="none"/>
          <w:lang w:eastAsia="zh-CN"/>
        </w:rPr>
        <w:t>应用、</w:t>
      </w:r>
      <w:r>
        <w:rPr>
          <w:rFonts w:hint="eastAsia" w:ascii="仿宋_GB2312" w:hAnsi="仿宋_GB2312" w:cs="仿宋_GB2312"/>
          <w:color w:val="auto"/>
          <w:sz w:val="32"/>
          <w:highlight w:val="none"/>
        </w:rPr>
        <w:t>预算安排、政策调整、改进管理实质性挂钩，体现奖优罚劣和激励导向，有效要安排、低效要压减、无效要问责。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（4）公开透明。绩效评价结果应依法依规公开，并自觉接受社会监督。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bCs/>
          <w:color w:val="auto"/>
          <w:sz w:val="32"/>
          <w:highlight w:val="none"/>
          <w:lang w:val="en-US" w:eastAsia="zh-CN"/>
        </w:rPr>
      </w:pPr>
      <w:r>
        <w:rPr>
          <w:rFonts w:hint="eastAsia" w:ascii="仿宋_GB2312" w:hAnsi="仿宋_GB2312" w:cs="仿宋_GB2312"/>
          <w:b/>
          <w:bCs/>
          <w:color w:val="auto"/>
          <w:sz w:val="32"/>
          <w:highlight w:val="none"/>
          <w:lang w:eastAsia="zh-CN"/>
        </w:rPr>
        <w:t>2</w:t>
      </w:r>
      <w:r>
        <w:rPr>
          <w:rFonts w:hint="eastAsia" w:ascii="仿宋_GB2312" w:hAnsi="仿宋_GB2312" w:cs="仿宋_GB2312"/>
          <w:b/>
          <w:bCs/>
          <w:color w:val="auto"/>
          <w:sz w:val="32"/>
          <w:highlight w:val="none"/>
        </w:rPr>
        <w:t>．</w:t>
      </w:r>
      <w:r>
        <w:rPr>
          <w:rFonts w:hint="eastAsia" w:ascii="仿宋_GB2312" w:hAnsi="仿宋_GB2312" w:cs="仿宋_GB2312"/>
          <w:b/>
          <w:bCs/>
          <w:color w:val="auto"/>
          <w:sz w:val="32"/>
          <w:highlight w:val="none"/>
          <w:lang w:val="en-US" w:eastAsia="zh-CN"/>
        </w:rPr>
        <w:t>绩效评价指标体系</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eastAsia="zh-CN"/>
        </w:rPr>
      </w:pPr>
      <w:r>
        <w:rPr>
          <w:rFonts w:hint="eastAsia" w:ascii="仿宋_GB2312" w:hAnsi="仿宋_GB2312" w:cs="仿宋_GB2312"/>
          <w:color w:val="auto"/>
          <w:sz w:val="32"/>
          <w:highlight w:val="none"/>
          <w:lang w:val="en-US" w:eastAsia="zh-CN"/>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在对2024年城乡义务教育补助经费项目（校舍安全保障）的深入调研基础上，按照《项目支出绩效评价管理办法》（财预〔2021〕10号）对于指标体系的要求和规范，建立一套适合评价2024年城乡义务教育补助经费项目（校舍安全保障）的指标体系，从项目决策、项目过程、项目产出和项目绩效四个维度全面考察2024年城乡义务教育补助经费项目（校舍安全保障）资金的效益，并重点对于项目的产出和绩效进行总体分析，以达到通过指标体系的科学评价反思管理及决策问题的目标。（见附件1）</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eastAsia="仿宋_GB2312"/>
          <w:color w:val="auto"/>
          <w:sz w:val="32"/>
          <w:szCs w:val="32"/>
          <w:highlight w:val="none"/>
        </w:rPr>
      </w:pPr>
      <w:r>
        <w:rPr>
          <w:rFonts w:hint="eastAsia" w:ascii="仿宋_GB2312" w:hAnsi="仿宋_GB2312" w:cs="仿宋_GB2312"/>
          <w:b/>
          <w:bCs/>
          <w:color w:val="auto"/>
          <w:sz w:val="32"/>
          <w:highlight w:val="none"/>
          <w:lang w:val="en-US" w:eastAsia="zh-CN"/>
        </w:rPr>
        <w:t>绩效评价方法</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三级指标分析环节：总体采用比较法，同时辅以文献法、成本效益法、因素分析法以及公众评判法，根据不同三级指标类型进行逐项分析。</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②定性指标分析环节：主要采用公众评判法，通过问卷及抽样调查等方式评价本项目实施后社会公众对于其实施效果的满意程度，将调研结果按照《项目支出绩效评价管理办法》（财预〔2020〕10号）、《自治区项目支出绩效目标设置指引》（新财预〔2022〕42号）文要求分为基本达成目标、部分实现目标、实现目标程度较低三个档次，并分别按照该指标对应分值区间100%-80%(含)、80%-60%(含)、60%-0%合理确定分值，详细评价方法的应用如下:</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立项依据充分性：比较法、文献法，查找法律法规政策以及规划，对比实际执行内容和政策支持内容是否匹配。</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立项程序规范性：比较法、文献法，查找相关项目设立的政策和文件要求，对比分析实际执行程序是否按照政策及文件要求执行，分析立项程序的规范性。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绩效目标合理性：比较法，对比分析年初编制项目支出绩效目标表与项目内容的相关性、资金的匹配性等。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绩效指标明确性：比较法，比较分析年初编制项目支出绩效目标表是否符合双七原则，是否可衡量。</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预算编制科学性</w:t>
      </w:r>
      <w:r>
        <w:rPr>
          <w:rFonts w:hint="eastAsia" w:ascii="仿宋_GB2312" w:hAnsi="仿宋_GB2312" w:cs="仿宋_GB2312"/>
          <w:color w:val="auto"/>
          <w:sz w:val="32"/>
          <w:highlight w:val="none"/>
          <w:lang w:val="en-US" w:eastAsia="zh-CN"/>
        </w:rPr>
        <w:tab/>
      </w:r>
      <w:r>
        <w:rPr>
          <w:rFonts w:hint="eastAsia" w:ascii="仿宋_GB2312" w:hAnsi="仿宋_GB2312" w:cs="仿宋_GB2312"/>
          <w:color w:val="auto"/>
          <w:sz w:val="32"/>
          <w:highlight w:val="none"/>
          <w:lang w:val="en-US" w:eastAsia="zh-CN"/>
        </w:rPr>
        <w:t>成本效益分析法</w:t>
      </w:r>
      <w:r>
        <w:rPr>
          <w:rFonts w:hint="eastAsia" w:ascii="仿宋_GB2312" w:hAnsi="仿宋_GB2312" w:cs="仿宋_GB2312"/>
          <w:color w:val="auto"/>
          <w:sz w:val="32"/>
          <w:highlight w:val="none"/>
          <w:lang w:val="en-US" w:eastAsia="zh-CN"/>
        </w:rPr>
        <w:tab/>
      </w:r>
      <w:r>
        <w:rPr>
          <w:rFonts w:hint="eastAsia" w:ascii="仿宋_GB2312" w:hAnsi="仿宋_GB2312" w:cs="仿宋_GB2312"/>
          <w:color w:val="auto"/>
          <w:sz w:val="32"/>
          <w:highlight w:val="none"/>
          <w:lang w:val="en-US" w:eastAsia="zh-CN"/>
        </w:rPr>
        <w:t>分析在产出一定的情况下，成本取值是否有依据，是否经过询价，是否按照市场最低成本编制。</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资金分配合理性：因素分析法，综合分析资金的分配依据是否充分，分配金额是否与项目实施单位需求金额一致，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资金到位率：比较法，资金到位率预期指标值应为100%，通过实际计算，分析实际完成值和预期指标值之间的差距和原因。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预算执行率：比较法，预算执行率预期指标值应为100%，通过实际计算，分析实际完成值和预期指标值之间的差距和原因。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资金使用合规性：文献法、实地勘察法，一是查找资金管理办法，包括专项资金管理办法和单位自有资金管理办法；二是通过查账了解具体开支情况，是否专用专用，是否按照标准支出。</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制度执行有效性：比较法，结合项目实际实施过程性文件，根据已建设的财务管理制度和项目管理制度综合分析制度执行的有效性。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定性指标：公众评判法，通过问卷及抽样调查等方式评价本项目实施后社会公众对于其实施效果的满意程度。</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left="0" w:leftChars="0" w:firstLine="643" w:firstLineChars="200"/>
        <w:contextualSpacing/>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绩效评价标准</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Chars="0" w:firstLine="640" w:firstLineChars="200"/>
        <w:contextualSpacing/>
        <w:textAlignment w:val="auto"/>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绩效评价标准通常包括计划标准、行业标准、历史标准等，用于对绩效指标完成情况进行比较。（1）计划标准。指以预先制定的目标、计划、预算、定额等作为评价标准。（2）行业标准。参照国家公布的行业指标数据制定的评价标准。（3）历史标准。参照历史数据制定的评价标准，为体现绩效改进的原则，在可实现的条件下应当确定相对较高的评价标准。（4）财政部门和预算部门确认或认可的其他标准。</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Chars="0" w:firstLine="640" w:firstLineChars="200"/>
        <w:contextualSpacing/>
        <w:textAlignment w:val="auto"/>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cs="仿宋_GB2312"/>
          <w:color w:val="auto"/>
          <w:sz w:val="32"/>
          <w:szCs w:val="24"/>
          <w:highlight w:val="none"/>
          <w:lang w:val="en-US" w:eastAsia="zh-CN" w:bidi="ar-SA"/>
        </w:rPr>
        <w:t>2024年城乡义务教育补助经费项目（校舍安全保障）</w:t>
      </w:r>
      <w:r>
        <w:rPr>
          <w:rFonts w:hint="eastAsia" w:ascii="仿宋_GB2312" w:hAnsi="仿宋_GB2312" w:eastAsia="仿宋_GB2312" w:cs="仿宋_GB2312"/>
          <w:color w:val="auto"/>
          <w:sz w:val="32"/>
          <w:szCs w:val="24"/>
          <w:highlight w:val="none"/>
          <w:lang w:val="en-US" w:eastAsia="zh-CN" w:bidi="ar-SA"/>
        </w:rPr>
        <w:t>属于建设类项目，</w:t>
      </w:r>
      <w:r>
        <w:rPr>
          <w:rFonts w:hint="eastAsia" w:ascii="仿宋_GB2312" w:hAnsi="仿宋_GB2312" w:eastAsia="仿宋_GB2312" w:cs="仿宋_GB2312"/>
          <w:b w:val="0"/>
          <w:bCs/>
          <w:color w:val="auto"/>
          <w:sz w:val="32"/>
          <w:szCs w:val="24"/>
          <w:highlight w:val="none"/>
          <w:lang w:val="en-US" w:eastAsia="zh-CN" w:bidi="ar-SA"/>
        </w:rPr>
        <w:t>有</w:t>
      </w:r>
      <w:r>
        <w:rPr>
          <w:rFonts w:hint="eastAsia" w:ascii="仿宋_GB2312" w:hAnsi="仿宋_GB2312" w:eastAsia="仿宋_GB2312" w:cs="仿宋_GB2312"/>
          <w:color w:val="auto"/>
          <w:sz w:val="32"/>
          <w:szCs w:val="24"/>
          <w:highlight w:val="none"/>
          <w:lang w:val="en-US" w:eastAsia="zh-CN" w:bidi="ar-SA"/>
        </w:rPr>
        <w:t>相应的行业标准和历史标准，故采用</w:t>
      </w:r>
      <w:r>
        <w:rPr>
          <w:rFonts w:hint="eastAsia" w:ascii="仿宋_GB2312" w:eastAsia="仿宋_GB2312"/>
          <w:color w:val="auto"/>
          <w:sz w:val="32"/>
          <w:highlight w:val="none"/>
        </w:rPr>
        <w:t>计划标准、行业标准、历史标准</w:t>
      </w:r>
      <w:r>
        <w:rPr>
          <w:rFonts w:hint="eastAsia" w:ascii="仿宋_GB2312" w:hAnsi="仿宋_GB2312" w:eastAsia="仿宋_GB2312" w:cs="仿宋_GB2312"/>
          <w:color w:val="auto"/>
          <w:sz w:val="32"/>
          <w:szCs w:val="24"/>
          <w:highlight w:val="none"/>
          <w:lang w:val="en-US" w:eastAsia="zh-CN" w:bidi="ar-SA"/>
        </w:rPr>
        <w:t>评价该项目。</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firstLine="643" w:firstLineChars="200"/>
        <w:contextualSpacing/>
        <w:textAlignment w:val="auto"/>
        <w:rPr>
          <w:rFonts w:hint="eastAsia" w:ascii="楷体" w:hAnsi="楷体" w:eastAsia="楷体" w:cs="仿宋_GB2312"/>
          <w:b/>
          <w:bCs/>
          <w:color w:val="auto"/>
          <w:sz w:val="32"/>
          <w:szCs w:val="24"/>
          <w:highlight w:val="none"/>
          <w:lang w:val="en-US" w:eastAsia="zh-CN" w:bidi="ar-SA"/>
        </w:rPr>
      </w:pPr>
      <w:r>
        <w:rPr>
          <w:rFonts w:hint="eastAsia" w:ascii="楷体" w:hAnsi="楷体" w:eastAsia="楷体" w:cs="仿宋_GB2312"/>
          <w:b/>
          <w:bCs/>
          <w:color w:val="auto"/>
          <w:sz w:val="32"/>
          <w:szCs w:val="24"/>
          <w:highlight w:val="none"/>
          <w:lang w:val="en-US" w:eastAsia="zh-CN" w:bidi="ar-SA"/>
        </w:rPr>
        <w:t>（三）绩效评价工作过程。</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600" w:leftChars="200"/>
        <w:contextualSpacing/>
        <w:textAlignment w:val="auto"/>
        <w:rPr>
          <w:rFonts w:hint="eastAsia" w:ascii="仿宋_GB2312" w:hAnsi="仿宋_GB2312" w:eastAsia="仿宋_GB2312" w:cs="仿宋_GB2312"/>
          <w:b/>
          <w:color w:val="auto"/>
          <w:sz w:val="32"/>
          <w:szCs w:val="24"/>
          <w:highlight w:val="none"/>
          <w:lang w:val="en-US" w:eastAsia="zh-CN" w:bidi="ar-SA"/>
        </w:rPr>
      </w:pPr>
      <w:r>
        <w:rPr>
          <w:rFonts w:hint="eastAsia" w:ascii="仿宋_GB2312" w:hAnsi="仿宋_GB2312" w:eastAsia="仿宋_GB2312" w:cs="仿宋_GB2312"/>
          <w:b/>
          <w:color w:val="auto"/>
          <w:sz w:val="32"/>
          <w:szCs w:val="24"/>
          <w:highlight w:val="none"/>
          <w:lang w:val="en-US" w:eastAsia="zh-CN" w:bidi="ar-SA"/>
        </w:rPr>
        <w:t>1．前期准备</w:t>
      </w:r>
    </w:p>
    <w:p>
      <w:pPr>
        <w:pStyle w:val="30"/>
        <w:keepNext w:val="0"/>
        <w:keepLines w:val="0"/>
        <w:pageBreakBefore w:val="0"/>
        <w:widowControl w:val="0"/>
        <w:numPr>
          <w:ilvl w:val="0"/>
          <w:numId w:val="0"/>
        </w:numPr>
        <w:kinsoku/>
        <w:wordWrap/>
        <w:overflowPunct/>
        <w:topLinePunct w:val="0"/>
        <w:autoSpaceDE/>
        <w:bidi w:val="0"/>
        <w:snapToGrid/>
        <w:spacing w:before="0" w:after="0" w:line="560" w:lineRule="exact"/>
        <w:ind w:firstLine="640" w:firstLineChars="200"/>
        <w:textAlignment w:val="auto"/>
        <w:outlineLvl w:val="9"/>
        <w:rPr>
          <w:b w:val="0"/>
          <w:bCs w:val="0"/>
          <w:color w:val="auto"/>
          <w:highlight w:val="none"/>
        </w:rPr>
      </w:pPr>
      <w:r>
        <w:rPr>
          <w:rFonts w:hint="eastAsia"/>
          <w:b w:val="0"/>
          <w:bCs w:val="0"/>
          <w:color w:val="auto"/>
          <w:highlight w:val="none"/>
        </w:rPr>
        <w:t>本次评价成立了评价工作组，成员如下：</w:t>
      </w:r>
    </w:p>
    <w:tbl>
      <w:tblPr>
        <w:tblStyle w:val="12"/>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8"/>
        <w:gridCol w:w="1827"/>
        <w:gridCol w:w="3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7"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评价人</w:t>
            </w:r>
          </w:p>
        </w:tc>
        <w:tc>
          <w:tcPr>
            <w:tcW w:w="1827" w:type="dxa"/>
            <w:vAlign w:val="center"/>
          </w:tcPr>
          <w:p>
            <w:pPr>
              <w:pStyle w:val="30"/>
              <w:keepNext w:val="0"/>
              <w:keepLines w:val="0"/>
              <w:numPr>
                <w:ilvl w:val="0"/>
                <w:numId w:val="0"/>
              </w:numPr>
              <w:spacing w:line="560" w:lineRule="exact"/>
              <w:jc w:val="center"/>
              <w:rPr>
                <w:rFonts w:hint="eastAsia" w:eastAsia="仿宋_GB2312"/>
                <w:b w:val="0"/>
                <w:bCs w:val="0"/>
                <w:color w:val="auto"/>
                <w:highlight w:val="none"/>
                <w:lang w:eastAsia="zh-CN"/>
              </w:rPr>
            </w:pPr>
            <w:r>
              <w:rPr>
                <w:rFonts w:hint="eastAsia"/>
                <w:b w:val="0"/>
                <w:bCs w:val="0"/>
                <w:color w:val="auto"/>
                <w:highlight w:val="none"/>
              </w:rPr>
              <w:t>职</w:t>
            </w:r>
            <w:r>
              <w:rPr>
                <w:rFonts w:hint="eastAsia"/>
                <w:b w:val="0"/>
                <w:bCs w:val="0"/>
                <w:color w:val="auto"/>
                <w:highlight w:val="none"/>
                <w:lang w:val="en-US" w:eastAsia="zh-CN"/>
              </w:rPr>
              <w:t>务</w:t>
            </w:r>
          </w:p>
        </w:tc>
        <w:tc>
          <w:tcPr>
            <w:tcW w:w="3901" w:type="dxa"/>
            <w:vAlign w:val="center"/>
          </w:tcPr>
          <w:p>
            <w:pPr>
              <w:pStyle w:val="30"/>
              <w:keepNext w:val="0"/>
              <w:keepLines w:val="0"/>
              <w:numPr>
                <w:ilvl w:val="0"/>
                <w:numId w:val="0"/>
              </w:numPr>
              <w:spacing w:line="560" w:lineRule="exact"/>
              <w:jc w:val="center"/>
              <w:rPr>
                <w:rFonts w:hint="eastAsia" w:eastAsia="仿宋_GB2312"/>
                <w:b w:val="0"/>
                <w:bCs w:val="0"/>
                <w:color w:val="auto"/>
                <w:highlight w:val="none"/>
                <w:lang w:eastAsia="zh-CN"/>
              </w:rPr>
            </w:pPr>
            <w:r>
              <w:rPr>
                <w:rFonts w:hint="eastAsia"/>
                <w:b w:val="0"/>
                <w:bCs w:val="0"/>
                <w:color w:val="auto"/>
                <w:highlight w:val="none"/>
              </w:rPr>
              <w:t>职</w:t>
            </w:r>
            <w:r>
              <w:rPr>
                <w:rFonts w:hint="eastAsia"/>
                <w:b w:val="0"/>
                <w:bCs w:val="0"/>
                <w:color w:val="auto"/>
                <w:highlight w:val="none"/>
                <w:lang w:val="en-US" w:eastAsia="zh-CN"/>
              </w:rPr>
              <w:t>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阿力木江·艾尔肯</w:t>
            </w:r>
          </w:p>
        </w:tc>
        <w:tc>
          <w:tcPr>
            <w:tcW w:w="1827"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评价组组长</w:t>
            </w:r>
          </w:p>
        </w:tc>
        <w:tc>
          <w:tcPr>
            <w:tcW w:w="3901" w:type="dxa"/>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组织安排绩效评价工作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沙小龙</w:t>
            </w:r>
          </w:p>
        </w:tc>
        <w:tc>
          <w:tcPr>
            <w:tcW w:w="1827"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901" w:type="dxa"/>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资料整理及信息汇总工作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凯迪日耶</w:t>
            </w:r>
          </w:p>
        </w:tc>
        <w:tc>
          <w:tcPr>
            <w:tcW w:w="1827"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901" w:type="dxa"/>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出具项目绩效评价报告</w:t>
            </w:r>
          </w:p>
        </w:tc>
      </w:tr>
    </w:tbl>
    <w:p>
      <w:pPr>
        <w:pStyle w:val="29"/>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2025年3月20日开始前期准备工作。评价组通过对评价对象前期调研，确定了评价的目的、方法以及评价的原则，根据2024年城乡义务教育补助经费项目（校舍安全保障）的内容和特征制定了评价指标体系及评价标准以及评价实施方案，修正并确定所需资料清单，最终确定实施方案。</w:t>
      </w:r>
    </w:p>
    <w:p>
      <w:pPr>
        <w:pStyle w:val="29"/>
        <w:tabs>
          <w:tab w:val="left" w:pos="1123"/>
        </w:tabs>
        <w:spacing w:line="560" w:lineRule="exact"/>
        <w:ind w:firstLine="640"/>
        <w:rPr>
          <w:rFonts w:hint="eastAsia" w:ascii="仿宋_GB2312" w:hAnsi="仿宋_GB2312" w:eastAsia="仿宋_GB2312" w:cs="仿宋_GB2312"/>
          <w:b/>
          <w:color w:val="auto"/>
          <w:sz w:val="32"/>
          <w:szCs w:val="24"/>
          <w:highlight w:val="none"/>
          <w:lang w:val="en-US" w:eastAsia="zh-CN" w:bidi="ar-SA"/>
        </w:rPr>
      </w:pPr>
      <w:r>
        <w:rPr>
          <w:rFonts w:hint="eastAsia" w:ascii="仿宋_GB2312" w:hAnsi="仿宋_GB2312" w:eastAsia="仿宋_GB2312" w:cs="仿宋_GB2312"/>
          <w:b/>
          <w:color w:val="auto"/>
          <w:sz w:val="32"/>
          <w:szCs w:val="24"/>
          <w:highlight w:val="none"/>
          <w:lang w:val="en-US" w:eastAsia="zh-CN" w:bidi="ar-SA"/>
        </w:rPr>
        <w:t>2．组织实施</w:t>
      </w:r>
    </w:p>
    <w:p>
      <w:pPr>
        <w:pStyle w:val="29"/>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2025年4月1日-4月20日，评价工作进入实施阶段。数据采集方面，评价组整理单位前期提交的各项资料，与项目实施负责人沟通，了解部门预算资金的内容、操作流程、管理机制、资金使用方向等情况；进行项目支出部门评价各项工作采集，了解项目设置背景及资金使用等情况。</w:t>
      </w:r>
    </w:p>
    <w:p>
      <w:pPr>
        <w:pStyle w:val="29"/>
        <w:tabs>
          <w:tab w:val="left" w:pos="1123"/>
        </w:tabs>
        <w:spacing w:line="560" w:lineRule="exact"/>
        <w:ind w:firstLine="640"/>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3．分析评价</w:t>
      </w:r>
    </w:p>
    <w:p>
      <w:pPr>
        <w:pStyle w:val="29"/>
        <w:tabs>
          <w:tab w:val="left" w:pos="1123"/>
        </w:tabs>
        <w:spacing w:line="560" w:lineRule="exact"/>
        <w:ind w:firstLine="640"/>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2025年</w:t>
      </w:r>
      <w:r>
        <w:rPr>
          <w:rFonts w:hint="eastAsia" w:ascii="仿宋_GB2312" w:hAnsi="仿宋_GB2312" w:eastAsia="仿宋_GB2312" w:cs="仿宋_GB2312"/>
          <w:color w:val="auto"/>
          <w:sz w:val="32"/>
          <w:szCs w:val="24"/>
          <w:highlight w:val="none"/>
          <w:lang w:val="en-US" w:eastAsia="zh-CN" w:bidi="ar-SA"/>
        </w:rPr>
        <w:t>4</w:t>
      </w:r>
      <w:r>
        <w:rPr>
          <w:rFonts w:hint="eastAsia" w:ascii="仿宋_GB2312" w:hAnsi="仿宋_GB2312" w:eastAsia="仿宋_GB2312" w:cs="仿宋_GB2312"/>
          <w:color w:val="auto"/>
          <w:sz w:val="32"/>
          <w:szCs w:val="32"/>
          <w:highlight w:val="none"/>
          <w:lang w:val="en-US" w:eastAsia="zh-CN" w:bidi="ar-SA"/>
        </w:rPr>
        <w:t>月</w:t>
      </w:r>
      <w:r>
        <w:rPr>
          <w:rFonts w:hint="eastAsia" w:ascii="仿宋_GB2312" w:hAnsi="仿宋_GB2312" w:eastAsia="仿宋_GB2312" w:cs="仿宋_GB2312"/>
          <w:color w:val="auto"/>
          <w:sz w:val="32"/>
          <w:szCs w:val="24"/>
          <w:highlight w:val="none"/>
          <w:lang w:val="en-US" w:eastAsia="zh-CN" w:bidi="ar-SA"/>
        </w:rPr>
        <w:t>21</w:t>
      </w:r>
      <w:r>
        <w:rPr>
          <w:rFonts w:hint="eastAsia" w:ascii="仿宋_GB2312" w:hAnsi="仿宋_GB2312" w:eastAsia="仿宋_GB2312" w:cs="仿宋_GB2312"/>
          <w:color w:val="auto"/>
          <w:sz w:val="32"/>
          <w:szCs w:val="32"/>
          <w:highlight w:val="none"/>
          <w:lang w:val="en-US" w:eastAsia="zh-CN" w:bidi="ar-SA"/>
        </w:rPr>
        <w:t>日-</w:t>
      </w:r>
      <w:r>
        <w:rPr>
          <w:rFonts w:hint="eastAsia" w:ascii="仿宋_GB2312" w:hAnsi="仿宋_GB2312" w:eastAsia="仿宋_GB2312" w:cs="仿宋_GB2312"/>
          <w:color w:val="auto"/>
          <w:sz w:val="32"/>
          <w:szCs w:val="24"/>
          <w:highlight w:val="none"/>
          <w:lang w:val="en-US" w:eastAsia="zh-CN" w:bidi="ar-SA"/>
        </w:rPr>
        <w:t>5</w:t>
      </w:r>
      <w:r>
        <w:rPr>
          <w:rFonts w:hint="eastAsia" w:ascii="仿宋_GB2312" w:hAnsi="仿宋_GB2312" w:eastAsia="仿宋_GB2312" w:cs="仿宋_GB2312"/>
          <w:color w:val="auto"/>
          <w:sz w:val="32"/>
          <w:szCs w:val="32"/>
          <w:highlight w:val="none"/>
          <w:lang w:val="en-US" w:eastAsia="zh-CN" w:bidi="ar-SA"/>
        </w:rPr>
        <w:t>月20日，评价组按照绩效评价的原则和规范，对取得的资料进行审查核实，对采集的数据进行分析，按照绩效评价指标评分表逐项进行打分、分析，汇总各方评价结果，综合分析并形成评价结论。</w:t>
      </w:r>
    </w:p>
    <w:p>
      <w:pPr>
        <w:pStyle w:val="29"/>
        <w:tabs>
          <w:tab w:val="left" w:pos="1123"/>
        </w:tabs>
        <w:spacing w:line="560" w:lineRule="exact"/>
        <w:ind w:firstLine="640"/>
        <w:rPr>
          <w:rFonts w:hint="eastAsia" w:ascii="黑体" w:hAnsi="黑体" w:eastAsia="黑体" w:cs="仿宋_GB2312"/>
          <w:color w:val="auto"/>
          <w:sz w:val="32"/>
          <w:szCs w:val="32"/>
          <w:highlight w:val="none"/>
          <w:lang w:val="en-US" w:eastAsia="zh-CN" w:bidi="ar-SA"/>
        </w:rPr>
      </w:pPr>
      <w:r>
        <w:rPr>
          <w:rFonts w:hint="eastAsia" w:ascii="黑体" w:hAnsi="黑体" w:eastAsia="黑体" w:cs="仿宋_GB2312"/>
          <w:color w:val="auto"/>
          <w:sz w:val="32"/>
          <w:szCs w:val="32"/>
          <w:highlight w:val="none"/>
          <w:lang w:val="en-US" w:eastAsia="zh-CN" w:bidi="ar-SA"/>
        </w:rPr>
        <w:t>三、综合评价情况及评价结论</w:t>
      </w:r>
    </w:p>
    <w:p>
      <w:pPr>
        <w:pStyle w:val="29"/>
        <w:tabs>
          <w:tab w:val="left" w:pos="1123"/>
        </w:tabs>
        <w:spacing w:line="560" w:lineRule="exact"/>
        <w:ind w:firstLine="640"/>
        <w:rPr>
          <w:rFonts w:hint="eastAsia" w:ascii="楷体" w:hAnsi="楷体" w:eastAsia="楷体" w:cs="仿宋_GB2312"/>
          <w:b/>
          <w:bCs/>
          <w:color w:val="auto"/>
          <w:sz w:val="32"/>
          <w:szCs w:val="32"/>
          <w:highlight w:val="none"/>
          <w:lang w:val="en-US" w:eastAsia="zh-CN" w:bidi="ar-SA"/>
        </w:rPr>
      </w:pPr>
      <w:r>
        <w:rPr>
          <w:rFonts w:hint="eastAsia" w:ascii="楷体" w:hAnsi="楷体" w:eastAsia="楷体" w:cs="仿宋_GB2312"/>
          <w:b/>
          <w:bCs/>
          <w:color w:val="auto"/>
          <w:sz w:val="32"/>
          <w:szCs w:val="32"/>
          <w:highlight w:val="none"/>
          <w:lang w:val="en-US" w:eastAsia="zh-CN" w:bidi="ar-SA"/>
        </w:rPr>
        <w:t>（一）综合评价情况</w:t>
      </w:r>
    </w:p>
    <w:p>
      <w:pPr>
        <w:pStyle w:val="29"/>
        <w:tabs>
          <w:tab w:val="left" w:pos="1123"/>
        </w:tabs>
        <w:spacing w:line="560" w:lineRule="exact"/>
        <w:ind w:firstLine="640"/>
        <w:rPr>
          <w:rFonts w:hint="eastAsia" w:ascii="仿宋_GB2312" w:hAnsi="Cambria" w:eastAsia="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bidi="ar-SA"/>
        </w:rPr>
        <w:t>本级绩效评价遵循科学规范、公开公正、绩效相关和问题导向的原则、重点评价项目的资金投入与财务管理</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bidi="ar-SA"/>
        </w:rPr>
        <w:t>组织管理、产出与效益效果。在此基础上，以相关的项目数据为基础，综合运用不同的评价方法，结合评价标准和评分规则，2024年城乡义务教育补助经费项目（校舍安全保障）综合得分为99.68分，</w:t>
      </w:r>
      <w:r>
        <w:rPr>
          <w:rFonts w:hint="eastAsia" w:ascii="仿宋_GB2312" w:hAnsi="Cambria" w:eastAsia="仿宋_GB2312"/>
          <w:color w:val="auto"/>
          <w:sz w:val="32"/>
          <w:szCs w:val="32"/>
          <w:highlight w:val="none"/>
        </w:rPr>
        <w:t>评价结果为优。</w:t>
      </w:r>
    </w:p>
    <w:p>
      <w:pPr>
        <w:pStyle w:val="29"/>
        <w:spacing w:line="560" w:lineRule="exact"/>
        <w:ind w:firstLine="585" w:firstLineChars="182"/>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2024年城乡义务教育补助经费项目（校舍安全保障）评价得分情况</w:t>
      </w:r>
    </w:p>
    <w:tbl>
      <w:tblPr>
        <w:tblStyle w:val="12"/>
        <w:tblW w:w="9309" w:type="dxa"/>
        <w:jc w:val="center"/>
        <w:tblInd w:w="0" w:type="dxa"/>
        <w:tblLayout w:type="fixed"/>
        <w:tblCellMar>
          <w:top w:w="0" w:type="dxa"/>
          <w:left w:w="10" w:type="dxa"/>
          <w:bottom w:w="0" w:type="dxa"/>
          <w:right w:w="10" w:type="dxa"/>
        </w:tblCellMar>
      </w:tblPr>
      <w:tblGrid>
        <w:gridCol w:w="1447"/>
        <w:gridCol w:w="2045"/>
        <w:gridCol w:w="1951"/>
        <w:gridCol w:w="3866"/>
      </w:tblGrid>
      <w:tr>
        <w:tblPrEx>
          <w:tblLayout w:type="fixed"/>
          <w:tblCellMar>
            <w:top w:w="0" w:type="dxa"/>
            <w:left w:w="10" w:type="dxa"/>
            <w:bottom w:w="0" w:type="dxa"/>
            <w:right w:w="10" w:type="dxa"/>
          </w:tblCellMar>
        </w:tblPrEx>
        <w:trPr>
          <w:trHeight w:val="749" w:hRule="exact"/>
          <w:jc w:val="center"/>
        </w:trPr>
        <w:tc>
          <w:tcPr>
            <w:tcW w:w="1447"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指标类别</w:t>
            </w:r>
          </w:p>
        </w:tc>
        <w:tc>
          <w:tcPr>
            <w:tcW w:w="2045"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分值</w:t>
            </w:r>
          </w:p>
        </w:tc>
        <w:tc>
          <w:tcPr>
            <w:tcW w:w="1951"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评价得分</w:t>
            </w:r>
          </w:p>
        </w:tc>
        <w:tc>
          <w:tcPr>
            <w:tcW w:w="3866" w:type="dxa"/>
            <w:tcBorders>
              <w:top w:val="single" w:color="auto" w:sz="4" w:space="0"/>
              <w:left w:val="single" w:color="auto" w:sz="4" w:space="0"/>
              <w:righ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备注</w:t>
            </w:r>
          </w:p>
        </w:tc>
      </w:tr>
      <w:tr>
        <w:tblPrEx>
          <w:tblLayout w:type="fixed"/>
          <w:tblCellMar>
            <w:top w:w="0" w:type="dxa"/>
            <w:left w:w="10" w:type="dxa"/>
            <w:bottom w:w="0" w:type="dxa"/>
            <w:right w:w="10" w:type="dxa"/>
          </w:tblCellMar>
        </w:tblPrEx>
        <w:trPr>
          <w:trHeight w:val="824" w:hRule="exact"/>
          <w:jc w:val="center"/>
        </w:trPr>
        <w:tc>
          <w:tcPr>
            <w:tcW w:w="1447"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决策</w:t>
            </w:r>
          </w:p>
        </w:tc>
        <w:tc>
          <w:tcPr>
            <w:tcW w:w="2045" w:type="dxa"/>
            <w:tcBorders>
              <w:top w:val="single" w:color="auto" w:sz="4" w:space="0"/>
              <w:left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1951"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3866" w:type="dxa"/>
            <w:tcBorders>
              <w:top w:val="single" w:color="auto" w:sz="4" w:space="0"/>
              <w:left w:val="single" w:color="auto" w:sz="4" w:space="0"/>
              <w:right w:val="single" w:color="auto" w:sz="4" w:space="0"/>
            </w:tcBorders>
            <w:vAlign w:val="top"/>
          </w:tcPr>
          <w:p>
            <w:pPr>
              <w:pStyle w:val="32"/>
              <w:spacing w:line="560" w:lineRule="exact"/>
              <w:ind w:firstLine="0"/>
              <w:rPr>
                <w:rFonts w:hint="eastAsia" w:ascii="仿宋_GB2312" w:hAnsi="仿宋_GB2312" w:eastAsia="仿宋_GB2312" w:cs="仿宋_GB2312"/>
                <w:color w:val="auto"/>
                <w:sz w:val="32"/>
                <w:szCs w:val="32"/>
                <w:highlight w:val="none"/>
                <w:lang w:val="en-US" w:eastAsia="zh-CN" w:bidi="ar-SA"/>
              </w:rPr>
            </w:pPr>
          </w:p>
        </w:tc>
      </w:tr>
      <w:tr>
        <w:tblPrEx>
          <w:tblLayout w:type="fixed"/>
          <w:tblCellMar>
            <w:top w:w="0" w:type="dxa"/>
            <w:left w:w="10" w:type="dxa"/>
            <w:bottom w:w="0" w:type="dxa"/>
            <w:right w:w="10" w:type="dxa"/>
          </w:tblCellMar>
        </w:tblPrEx>
        <w:trPr>
          <w:trHeight w:val="835" w:hRule="exact"/>
          <w:jc w:val="center"/>
        </w:trPr>
        <w:tc>
          <w:tcPr>
            <w:tcW w:w="1447" w:type="dxa"/>
            <w:tcBorders>
              <w:top w:val="single" w:color="auto" w:sz="4" w:space="0"/>
              <w:left w:val="single" w:color="auto" w:sz="4" w:space="0"/>
            </w:tcBorders>
            <w:vAlign w:val="center"/>
          </w:tcPr>
          <w:p>
            <w:pPr>
              <w:pStyle w:val="32"/>
              <w:spacing w:line="560" w:lineRule="exact"/>
              <w:ind w:firstLine="380"/>
              <w:jc w:val="left"/>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过程</w:t>
            </w:r>
          </w:p>
        </w:tc>
        <w:tc>
          <w:tcPr>
            <w:tcW w:w="2045" w:type="dxa"/>
            <w:tcBorders>
              <w:top w:val="single" w:color="auto" w:sz="4" w:space="0"/>
              <w:left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17</w:t>
            </w:r>
          </w:p>
        </w:tc>
        <w:tc>
          <w:tcPr>
            <w:tcW w:w="1951" w:type="dxa"/>
            <w:tcBorders>
              <w:top w:val="single" w:color="auto" w:sz="4" w:space="0"/>
              <w:left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16.68</w:t>
            </w:r>
          </w:p>
        </w:tc>
        <w:tc>
          <w:tcPr>
            <w:tcW w:w="3866" w:type="dxa"/>
            <w:tcBorders>
              <w:top w:val="single" w:color="auto" w:sz="4" w:space="0"/>
              <w:left w:val="single" w:color="auto" w:sz="4" w:space="0"/>
              <w:right w:val="single" w:color="auto" w:sz="4" w:space="0"/>
            </w:tcBorders>
            <w:vAlign w:val="bottom"/>
          </w:tcPr>
          <w:p>
            <w:pPr>
              <w:pStyle w:val="32"/>
              <w:spacing w:line="560" w:lineRule="exact"/>
              <w:ind w:firstLine="0"/>
              <w:jc w:val="left"/>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项目预算执行率93.60%.</w:t>
            </w:r>
          </w:p>
        </w:tc>
      </w:tr>
      <w:tr>
        <w:tblPrEx>
          <w:tblLayout w:type="fixed"/>
          <w:tblCellMar>
            <w:top w:w="0" w:type="dxa"/>
            <w:left w:w="10" w:type="dxa"/>
            <w:bottom w:w="0" w:type="dxa"/>
            <w:right w:w="10" w:type="dxa"/>
          </w:tblCellMar>
        </w:tblPrEx>
        <w:trPr>
          <w:trHeight w:val="857" w:hRule="exact"/>
          <w:jc w:val="center"/>
        </w:trPr>
        <w:tc>
          <w:tcPr>
            <w:tcW w:w="1447"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产出</w:t>
            </w:r>
          </w:p>
        </w:tc>
        <w:tc>
          <w:tcPr>
            <w:tcW w:w="2045" w:type="dxa"/>
            <w:tcBorders>
              <w:top w:val="single" w:color="auto" w:sz="4" w:space="0"/>
              <w:left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3866" w:type="dxa"/>
            <w:tcBorders>
              <w:top w:val="single" w:color="auto" w:sz="4" w:space="0"/>
              <w:left w:val="single" w:color="auto" w:sz="4" w:space="0"/>
              <w:right w:val="single" w:color="auto" w:sz="4" w:space="0"/>
            </w:tcBorders>
            <w:vAlign w:val="center"/>
          </w:tcPr>
          <w:p>
            <w:pPr>
              <w:pStyle w:val="32"/>
              <w:spacing w:line="560" w:lineRule="exact"/>
              <w:ind w:firstLine="0"/>
              <w:rPr>
                <w:rFonts w:hint="eastAsia" w:ascii="仿宋_GB2312" w:hAnsi="仿宋_GB2312" w:eastAsia="仿宋_GB2312" w:cs="仿宋_GB2312"/>
                <w:color w:val="auto"/>
                <w:sz w:val="32"/>
                <w:szCs w:val="32"/>
                <w:highlight w:val="none"/>
                <w:lang w:val="en-US" w:eastAsia="zh-CN" w:bidi="ar-SA"/>
              </w:rPr>
            </w:pPr>
          </w:p>
        </w:tc>
      </w:tr>
      <w:tr>
        <w:tblPrEx>
          <w:tblLayout w:type="fixed"/>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效益</w:t>
            </w:r>
          </w:p>
        </w:tc>
        <w:tc>
          <w:tcPr>
            <w:tcW w:w="2045"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3866" w:type="dxa"/>
            <w:tcBorders>
              <w:top w:val="single" w:color="auto" w:sz="4" w:space="0"/>
              <w:left w:val="single" w:color="auto" w:sz="4" w:space="0"/>
              <w:bottom w:val="single" w:color="auto" w:sz="4" w:space="0"/>
              <w:right w:val="single" w:color="auto" w:sz="4" w:space="0"/>
            </w:tcBorders>
            <w:vAlign w:val="top"/>
          </w:tcPr>
          <w:p>
            <w:pPr>
              <w:spacing w:line="560" w:lineRule="exact"/>
              <w:rPr>
                <w:rFonts w:hint="eastAsia" w:ascii="仿宋_GB2312" w:hAnsi="仿宋_GB2312" w:cs="仿宋_GB2312"/>
                <w:color w:val="auto"/>
                <w:sz w:val="32"/>
                <w:szCs w:val="32"/>
                <w:highlight w:val="none"/>
              </w:rPr>
            </w:pPr>
          </w:p>
        </w:tc>
      </w:tr>
      <w:tr>
        <w:tblPrEx>
          <w:tblLayout w:type="fixed"/>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合计</w:t>
            </w:r>
          </w:p>
        </w:tc>
        <w:tc>
          <w:tcPr>
            <w:tcW w:w="2045"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100</w:t>
            </w:r>
          </w:p>
        </w:tc>
        <w:tc>
          <w:tcPr>
            <w:tcW w:w="1951"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cs="仿宋_GB2312"/>
                <w:color w:val="auto"/>
                <w:sz w:val="32"/>
                <w:szCs w:val="32"/>
                <w:highlight w:val="none"/>
                <w:lang w:eastAsia="zh-CN"/>
              </w:rPr>
              <w:t>99.68</w:t>
            </w:r>
          </w:p>
        </w:tc>
        <w:tc>
          <w:tcPr>
            <w:tcW w:w="3866" w:type="dxa"/>
            <w:tcBorders>
              <w:top w:val="single" w:color="auto" w:sz="4" w:space="0"/>
              <w:left w:val="single" w:color="auto" w:sz="4" w:space="0"/>
              <w:bottom w:val="single" w:color="auto" w:sz="4" w:space="0"/>
              <w:right w:val="single" w:color="auto" w:sz="4" w:space="0"/>
            </w:tcBorders>
            <w:vAlign w:val="top"/>
          </w:tcPr>
          <w:p>
            <w:pPr>
              <w:spacing w:line="560" w:lineRule="exact"/>
              <w:rPr>
                <w:rFonts w:hint="eastAsia" w:ascii="仿宋_GB2312" w:hAnsi="仿宋_GB2312" w:cs="仿宋_GB2312"/>
                <w:color w:val="auto"/>
                <w:sz w:val="32"/>
                <w:szCs w:val="32"/>
                <w:highlight w:val="none"/>
              </w:rPr>
            </w:pPr>
          </w:p>
        </w:tc>
      </w:tr>
    </w:tbl>
    <w:p>
      <w:pPr>
        <w:snapToGrid w:val="0"/>
        <w:spacing w:line="560" w:lineRule="exact"/>
        <w:ind w:firstLine="482" w:firstLineChars="150"/>
        <w:jc w:val="left"/>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（二）评价结论</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2024年城乡义务教育补助经费项目（校舍安全保障）</w:t>
      </w:r>
      <w:r>
        <w:rPr>
          <w:rFonts w:hint="eastAsia" w:ascii="仿宋_GB2312" w:hAnsi="仿宋_GB2312" w:cs="仿宋_GB2312"/>
          <w:color w:val="auto"/>
          <w:sz w:val="32"/>
          <w:szCs w:val="32"/>
          <w:highlight w:val="none"/>
        </w:rPr>
        <w:t>资金达到了年初设立的绩效目标，在实施过程中取得了良好的成效，具体表现在以下几点：</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本项目共计支出1151.81万元，用于21所学校进行校舍维修改造；通过实施本项目保障正常开展教育教学工作，做好抗震工作，确保学生安全，提高教学工作质量。</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全年</w:t>
      </w:r>
      <w:r>
        <w:rPr>
          <w:rFonts w:hint="eastAsia" w:ascii="仿宋_GB2312" w:hAnsi="仿宋" w:cs="宋体"/>
          <w:color w:val="auto"/>
          <w:kern w:val="0"/>
          <w:sz w:val="32"/>
          <w:szCs w:val="32"/>
          <w:highlight w:val="none"/>
          <w:lang w:val="en-US" w:eastAsia="zh-CN" w:bidi="ar-SA"/>
        </w:rPr>
        <w:t>2024年城乡义务教育补助经费项目（校舍安全保障）</w:t>
      </w:r>
      <w:r>
        <w:rPr>
          <w:rFonts w:hint="eastAsia" w:ascii="仿宋_GB2312" w:hAnsi="仿宋_GB2312" w:cs="仿宋_GB2312"/>
          <w:color w:val="auto"/>
          <w:sz w:val="32"/>
          <w:szCs w:val="32"/>
          <w:highlight w:val="none"/>
        </w:rPr>
        <w:t>支出共计</w:t>
      </w:r>
      <w:r>
        <w:rPr>
          <w:rFonts w:hint="eastAsia" w:ascii="仿宋_GB2312" w:hAnsi="仿宋_GB2312" w:cs="仿宋_GB2312"/>
          <w:color w:val="auto"/>
          <w:sz w:val="32"/>
          <w:szCs w:val="32"/>
          <w:highlight w:val="none"/>
          <w:lang w:eastAsia="zh-CN"/>
        </w:rPr>
        <w:t>1151.81万元</w:t>
      </w:r>
      <w:r>
        <w:rPr>
          <w:rFonts w:hint="eastAsia" w:ascii="仿宋_GB2312" w:hAnsi="仿宋_GB2312" w:cs="仿宋_GB2312"/>
          <w:color w:val="auto"/>
          <w:sz w:val="32"/>
          <w:szCs w:val="32"/>
          <w:highlight w:val="none"/>
        </w:rPr>
        <w:t>，评价得分值</w:t>
      </w:r>
      <w:r>
        <w:rPr>
          <w:rFonts w:hint="eastAsia" w:ascii="仿宋_GB2312" w:hAnsi="仿宋_GB2312" w:cs="仿宋_GB2312"/>
          <w:color w:val="auto"/>
          <w:sz w:val="32"/>
          <w:szCs w:val="32"/>
          <w:highlight w:val="none"/>
          <w:lang w:eastAsia="zh-CN"/>
        </w:rPr>
        <w:t>99.68</w:t>
      </w:r>
      <w:r>
        <w:rPr>
          <w:rFonts w:hint="eastAsia" w:ascii="仿宋_GB2312" w:hAnsi="仿宋_GB2312" w:cs="仿宋_GB2312"/>
          <w:color w:val="auto"/>
          <w:sz w:val="32"/>
          <w:szCs w:val="32"/>
          <w:highlight w:val="none"/>
        </w:rPr>
        <w:t>分。</w:t>
      </w:r>
    </w:p>
    <w:p>
      <w:pPr>
        <w:snapToGrid w:val="0"/>
        <w:spacing w:line="560" w:lineRule="exact"/>
        <w:ind w:firstLine="640" w:firstLineChars="200"/>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rPr>
        <w:t>四、绩效评价指标分析</w:t>
      </w:r>
    </w:p>
    <w:p>
      <w:pPr>
        <w:snapToGrid w:val="0"/>
        <w:spacing w:line="560" w:lineRule="exact"/>
        <w:ind w:firstLine="643" w:firstLineChars="200"/>
        <w:outlineLvl w:val="0"/>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（一）项目决策情况。</w:t>
      </w:r>
    </w:p>
    <w:p>
      <w:pPr>
        <w:pStyle w:val="25"/>
        <w:spacing w:line="560" w:lineRule="exact"/>
        <w:ind w:firstLine="640"/>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本项目的立项符合相关法规政策及部门职责，依据充分；项目</w:t>
      </w:r>
      <w:r>
        <w:rPr>
          <w:rFonts w:hint="eastAsia" w:ascii="仿宋_GB2312" w:hAnsi="仿宋" w:cs="宋体"/>
          <w:color w:val="auto"/>
          <w:sz w:val="32"/>
          <w:szCs w:val="32"/>
          <w:highlight w:val="none"/>
          <w:lang w:val="en-US" w:eastAsia="zh-CN"/>
        </w:rPr>
        <w:t>严格</w:t>
      </w:r>
      <w:r>
        <w:rPr>
          <w:rFonts w:hint="eastAsia" w:ascii="仿宋_GB2312" w:hAnsi="仿宋" w:cs="宋体"/>
          <w:color w:val="auto"/>
          <w:sz w:val="32"/>
          <w:szCs w:val="32"/>
          <w:highlight w:val="none"/>
        </w:rPr>
        <w:t>按照规定的程序申请设立；审批文件、材料符合相关要求；项目前期已经过必要的可行性研究、风险评估、绩效评估、集体决策。</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项目根据相关文件要求设置了绩效目标，项目绩效目标基本合理，</w:t>
      </w:r>
      <w:r>
        <w:rPr>
          <w:rFonts w:hint="eastAsia" w:ascii="仿宋_GB2312" w:hAnsi="仿宋" w:cs="宋体"/>
          <w:color w:val="auto"/>
          <w:sz w:val="32"/>
          <w:szCs w:val="32"/>
          <w:highlight w:val="none"/>
          <w:lang w:val="en-US" w:eastAsia="zh-CN"/>
        </w:rPr>
        <w:t>绩效目标</w:t>
      </w:r>
      <w:r>
        <w:rPr>
          <w:rFonts w:hint="eastAsia" w:ascii="仿宋_GB2312" w:hAnsi="仿宋" w:cs="宋体"/>
          <w:color w:val="auto"/>
          <w:sz w:val="32"/>
          <w:szCs w:val="32"/>
          <w:highlight w:val="none"/>
        </w:rPr>
        <w:t>与实际工作内容相关；项目预期产出效益和效果符合正常的业绩水平；</w:t>
      </w:r>
      <w:r>
        <w:rPr>
          <w:rFonts w:hint="eastAsia" w:ascii="仿宋_GB2312" w:hAnsi="仿宋" w:cs="宋体"/>
          <w:color w:val="auto"/>
          <w:sz w:val="32"/>
          <w:szCs w:val="32"/>
          <w:highlight w:val="none"/>
          <w:lang w:val="en-US" w:eastAsia="zh-CN"/>
        </w:rPr>
        <w:t>目标设置</w:t>
      </w:r>
      <w:r>
        <w:rPr>
          <w:rFonts w:hint="eastAsia" w:ascii="仿宋_GB2312" w:hAnsi="仿宋" w:cs="宋体"/>
          <w:color w:val="auto"/>
          <w:sz w:val="32"/>
          <w:szCs w:val="32"/>
          <w:highlight w:val="none"/>
        </w:rPr>
        <w:t>与预算确定的项目投资额或资金量相匹配。</w:t>
      </w:r>
      <w:r>
        <w:rPr>
          <w:rFonts w:hint="eastAsia" w:ascii="仿宋_GB2312" w:hAnsi="仿宋" w:cs="宋体"/>
          <w:color w:val="auto"/>
          <w:sz w:val="32"/>
          <w:szCs w:val="32"/>
          <w:highlight w:val="none"/>
          <w:lang w:val="en-US" w:eastAsia="zh-CN"/>
        </w:rPr>
        <w:t>严格按照要求</w:t>
      </w:r>
      <w:r>
        <w:rPr>
          <w:rFonts w:hint="eastAsia" w:ascii="仿宋_GB2312" w:hAnsi="仿宋" w:cs="宋体"/>
          <w:color w:val="auto"/>
          <w:sz w:val="32"/>
          <w:szCs w:val="32"/>
          <w:highlight w:val="none"/>
        </w:rPr>
        <w:t>将项目绩效目标细化分解为具体的绩效指标</w:t>
      </w:r>
      <w:r>
        <w:rPr>
          <w:rFonts w:hint="eastAsia" w:ascii="仿宋_GB2312" w:hAnsi="仿宋" w:cs="宋体"/>
          <w:color w:val="auto"/>
          <w:sz w:val="32"/>
          <w:szCs w:val="32"/>
          <w:highlight w:val="none"/>
          <w:lang w:val="en-US" w:eastAsia="zh-CN"/>
        </w:rPr>
        <w:t>并</w:t>
      </w:r>
      <w:r>
        <w:rPr>
          <w:rFonts w:hint="eastAsia" w:ascii="仿宋_GB2312" w:hAnsi="仿宋" w:cs="宋体"/>
          <w:color w:val="auto"/>
          <w:sz w:val="32"/>
          <w:szCs w:val="32"/>
          <w:highlight w:val="none"/>
        </w:rPr>
        <w:t>通过清晰、可衡量的指标值予以体现；与项目目标任务数或计划数相对应。</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eastAsia="zh-CN"/>
        </w:rPr>
      </w:pPr>
      <w:r>
        <w:rPr>
          <w:rFonts w:hint="eastAsia" w:ascii="仿宋_GB2312" w:hAnsi="仿宋" w:cs="宋体"/>
          <w:color w:val="auto"/>
          <w:sz w:val="32"/>
          <w:szCs w:val="32"/>
          <w:highlight w:val="none"/>
        </w:rPr>
        <w:t>项目在资金投入方面，预算编制经过科学论证、有明确标准，资金额度与年度目标相适应，用以反映和考核项目预算编制的科学性、合理性情况。项目预算资金分配有测算依据，与补助单位或地方实际相适应</w:t>
      </w:r>
      <w:r>
        <w:rPr>
          <w:rFonts w:hint="eastAsia" w:ascii="仿宋_GB2312" w:hAnsi="仿宋" w:cs="宋体"/>
          <w:color w:val="auto"/>
          <w:sz w:val="32"/>
          <w:szCs w:val="32"/>
          <w:highlight w:val="none"/>
          <w:lang w:eastAsia="zh-CN"/>
        </w:rPr>
        <w:t>。</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（二）项目过程情况。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1．资金管理</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 w:cs="宋体"/>
          <w:color w:val="auto"/>
          <w:sz w:val="32"/>
          <w:szCs w:val="32"/>
          <w:highlight w:val="none"/>
        </w:rPr>
        <w:t>在资金管理方面，项目资金到位足额及时，</w:t>
      </w:r>
      <w:r>
        <w:rPr>
          <w:rFonts w:hint="eastAsia" w:ascii="仿宋_GB2312" w:hAnsi="仿宋" w:cs="宋体"/>
          <w:color w:val="auto"/>
          <w:sz w:val="32"/>
          <w:szCs w:val="32"/>
          <w:highlight w:val="none"/>
          <w:lang w:val="en-US" w:eastAsia="zh-CN"/>
        </w:rPr>
        <w:t>并</w:t>
      </w:r>
      <w:r>
        <w:rPr>
          <w:rFonts w:hint="eastAsia" w:ascii="仿宋_GB2312" w:hAnsi="仿宋" w:cs="宋体"/>
          <w:color w:val="auto"/>
          <w:sz w:val="32"/>
          <w:szCs w:val="32"/>
          <w:highlight w:val="none"/>
        </w:rPr>
        <w:t>及时支付，资金使用符合国家法规和财务管理制度；资金拨付有完整的审批程序和手续，符合项目预算批复或合同规定的用途；</w:t>
      </w:r>
      <w:r>
        <w:rPr>
          <w:rFonts w:hint="eastAsia" w:ascii="仿宋_GB2312" w:hAnsi="仿宋" w:cs="宋体"/>
          <w:color w:val="auto"/>
          <w:sz w:val="32"/>
          <w:szCs w:val="32"/>
          <w:highlight w:val="none"/>
          <w:lang w:val="en-US" w:eastAsia="zh-CN"/>
        </w:rPr>
        <w:t>不</w:t>
      </w:r>
      <w:r>
        <w:rPr>
          <w:rFonts w:hint="eastAsia" w:ascii="仿宋_GB2312" w:hAnsi="仿宋" w:cs="宋体"/>
          <w:color w:val="auto"/>
          <w:sz w:val="32"/>
          <w:szCs w:val="32"/>
          <w:highlight w:val="none"/>
        </w:rPr>
        <w:t>存在截留、挤占、挪用、虚列支出等情况。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2．项目实施</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（1）项目管理制度建设方面</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对项目申请进行严格审核、筛选。根据拟申请预算项目，从相关性、预期绩效的可实现性、实施方案的有效性、预期绩效的可持续性及财政资金投入的可行性风险五个方面进行客观、公正的评估。</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评估结果作为申报</w:t>
      </w:r>
      <w:r>
        <w:rPr>
          <w:rFonts w:hint="eastAsia" w:ascii="仿宋_GB2312" w:hAnsi="仿宋_GB2312" w:cs="仿宋_GB2312"/>
          <w:color w:val="auto"/>
          <w:sz w:val="32"/>
          <w:szCs w:val="32"/>
          <w:highlight w:val="none"/>
          <w:lang w:eastAsia="zh-CN"/>
        </w:rPr>
        <w:t>202</w:t>
      </w:r>
      <w:r>
        <w:rPr>
          <w:rFonts w:hint="eastAsia" w:ascii="仿宋_GB2312" w:hAnsi="仿宋_GB2312" w:cs="仿宋_GB2312"/>
          <w:color w:val="auto"/>
          <w:sz w:val="32"/>
          <w:szCs w:val="32"/>
          <w:highlight w:val="none"/>
          <w:lang w:val="en-US" w:eastAsia="zh-CN"/>
        </w:rPr>
        <w:t>5年</w:t>
      </w:r>
      <w:r>
        <w:rPr>
          <w:rFonts w:hint="eastAsia" w:ascii="仿宋_GB2312" w:hAnsi="仿宋_GB2312" w:cs="仿宋_GB2312"/>
          <w:color w:val="auto"/>
          <w:sz w:val="32"/>
          <w:szCs w:val="32"/>
          <w:highlight w:val="none"/>
          <w:lang w:eastAsia="zh-CN"/>
        </w:rPr>
        <w:t>城乡义务教育补助经费项目（校舍安全保障）</w:t>
      </w:r>
      <w:r>
        <w:rPr>
          <w:rFonts w:hint="eastAsia" w:ascii="仿宋_GB2312" w:hAnsi="仿宋_GB2312" w:cs="仿宋_GB2312"/>
          <w:color w:val="auto"/>
          <w:sz w:val="32"/>
          <w:szCs w:val="32"/>
          <w:highlight w:val="none"/>
        </w:rPr>
        <w:t>预算依据</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继而进行该项目支出预算的编制、执行和上报等工作。在项目预算的编制工程中，坚持履行政府职能方面的轻重缓急程度进行先后排序，坚持对</w:t>
      </w:r>
      <w:r>
        <w:rPr>
          <w:rFonts w:hint="eastAsia" w:ascii="仿宋_GB2312" w:hAnsi="仿宋_GB2312" w:cs="仿宋_GB2312"/>
          <w:color w:val="auto"/>
          <w:sz w:val="32"/>
          <w:szCs w:val="32"/>
          <w:highlight w:val="none"/>
          <w:lang w:eastAsia="zh-CN"/>
        </w:rPr>
        <w:t>2024年城乡义务教育补助经费项目（校舍安全保障）</w:t>
      </w:r>
      <w:r>
        <w:rPr>
          <w:rFonts w:hint="eastAsia" w:ascii="仿宋_GB2312" w:hAnsi="仿宋_GB2312" w:cs="仿宋_GB2312"/>
          <w:color w:val="auto"/>
          <w:sz w:val="32"/>
          <w:szCs w:val="32"/>
          <w:highlight w:val="none"/>
        </w:rPr>
        <w:t>先进行论证，结合论证情况编制预算，最后由预算部门结合财力情况进行预算安排或追加。</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（2）日常检查监督管理方面</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完善监管规章制度。在项目预算的执行过程中，会同</w:t>
      </w:r>
      <w:r>
        <w:rPr>
          <w:rFonts w:hint="eastAsia" w:ascii="仿宋_GB2312" w:hAnsi="仿宋_GB2312" w:cs="仿宋_GB2312"/>
          <w:color w:val="auto"/>
          <w:sz w:val="32"/>
          <w:szCs w:val="32"/>
          <w:highlight w:val="none"/>
          <w:lang w:val="en-US" w:eastAsia="zh-CN"/>
        </w:rPr>
        <w:t>阿图什市</w:t>
      </w:r>
      <w:r>
        <w:rPr>
          <w:rFonts w:hint="eastAsia" w:ascii="仿宋_GB2312" w:hAnsi="仿宋_GB2312" w:cs="仿宋_GB2312"/>
          <w:color w:val="auto"/>
          <w:sz w:val="32"/>
          <w:szCs w:val="32"/>
          <w:highlight w:val="none"/>
        </w:rPr>
        <w:t>财政局从资金申请、资金使用、会计核算三个环节加强资金管理。在项目资金申请环节，负责科室严格按照国库集中支付流程向市财政局申请财政资金，我局通过召开党组会议确定</w:t>
      </w:r>
      <w:r>
        <w:rPr>
          <w:rFonts w:hint="eastAsia" w:ascii="仿宋_GB2312" w:hAnsi="仿宋_GB2312" w:cs="仿宋_GB2312"/>
          <w:color w:val="auto"/>
          <w:sz w:val="32"/>
          <w:szCs w:val="32"/>
          <w:highlight w:val="none"/>
          <w:lang w:eastAsia="zh-CN"/>
        </w:rPr>
        <w:t>2024年城乡义务教育补助经费项目（校舍安全保障）</w:t>
      </w:r>
      <w:r>
        <w:rPr>
          <w:rFonts w:hint="eastAsia" w:ascii="仿宋_GB2312" w:hAnsi="仿宋_GB2312" w:cs="仿宋_GB2312"/>
          <w:color w:val="auto"/>
          <w:sz w:val="32"/>
          <w:szCs w:val="32"/>
          <w:highlight w:val="none"/>
        </w:rPr>
        <w:t>组织形式，明确了该项目经费的开支范围为用于21所学校进行校舍维修改造，严格做到专款专用，责任到人。在资金使用环节，严格遵守相关规定，严格按照我局资金财务审批流程办理款项支付。在会计核算环节，对本项目资金实际单独核算，确保</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资金专款专用。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（3）运用财务内控系统实时监管</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年初将财政批复的</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资金预算指标整体导入，对预算指标按照项目分类，从数量、质量、时效、满意度等方面分别进行管理控制，监控、掌握预算实时信息，通过不定期检查预算执行情况，增强预算指标刚性。</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（4）严格按照政府采购制度规范实施政府采购。对于需要实施政府采购的活动，严格实施、履行采购手续，根据</w:t>
      </w:r>
      <w:r>
        <w:rPr>
          <w:rFonts w:hint="eastAsia" w:ascii="仿宋_GB2312" w:hAnsi="仿宋_GB2312" w:cs="仿宋_GB2312"/>
          <w:color w:val="auto"/>
          <w:sz w:val="32"/>
          <w:szCs w:val="32"/>
          <w:highlight w:val="none"/>
          <w:lang w:eastAsia="zh-CN"/>
        </w:rPr>
        <w:t>2024年城乡义务教育补助经费项目（校舍安全保障）</w:t>
      </w:r>
      <w:r>
        <w:rPr>
          <w:rFonts w:hint="eastAsia" w:ascii="仿宋_GB2312" w:hAnsi="仿宋_GB2312" w:cs="仿宋_GB2312"/>
          <w:color w:val="auto"/>
          <w:sz w:val="32"/>
          <w:szCs w:val="32"/>
          <w:highlight w:val="none"/>
          <w:lang w:val="en-US" w:eastAsia="zh-CN"/>
        </w:rPr>
        <w:t>的采购</w:t>
      </w:r>
      <w:r>
        <w:rPr>
          <w:rFonts w:hint="eastAsia" w:ascii="仿宋_GB2312" w:hAnsi="仿宋_GB2312" w:cs="仿宋_GB2312"/>
          <w:color w:val="auto"/>
          <w:sz w:val="32"/>
          <w:szCs w:val="32"/>
          <w:highlight w:val="none"/>
        </w:rPr>
        <w:t>需求，选择合规可行的采购形式，并组织专家评审或公开招标，将采购政策、采购程序、采购过程规范化、透明化，提升专项资金的使用效果。</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（5）依照财政资金管理制度，按照不定期检查与项目周期检查相结合的方式，对</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资金的使用情况进行监督检查。重点督查专项资金的使用进度，资金落实情况，对发现的问题，采取措施及时纠正、强化管理，确保</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资金安全使用。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2024年城乡义务教育补助经费项目（校舍安全保障）</w:t>
      </w:r>
      <w:r>
        <w:rPr>
          <w:rFonts w:hint="eastAsia" w:ascii="仿宋_GB2312" w:hAnsi="仿宋_GB2312" w:cs="仿宋_GB2312"/>
          <w:color w:val="auto"/>
          <w:sz w:val="32"/>
          <w:szCs w:val="32"/>
          <w:highlight w:val="none"/>
        </w:rPr>
        <w:t>在实施阶段均制定了具体的组织实施文件，各个项目均经过项目申报、项目评审、项目核准备案、采购招标、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本次评价认为：该项目组织机构设置合理，政策及管理办法基本完善，所有项目均按照流程执行，中期有检查，后期有验收。</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（三）项目产出情况</w:t>
      </w:r>
    </w:p>
    <w:p>
      <w:pPr>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1．数量指标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hAnsi="仿宋_GB2312" w:cs="仿宋_GB2312"/>
          <w:color w:val="auto"/>
          <w:sz w:val="32"/>
          <w:szCs w:val="32"/>
          <w:highlight w:val="none"/>
        </w:rPr>
        <w:t>数量指标为涉及学校数量，预期指标值为大于等于21所，实际完成值为21所，指标达到预期目标。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仿宋_GB2312"/>
          <w:color w:val="auto"/>
          <w:sz w:val="32"/>
          <w:szCs w:val="32"/>
          <w:highlight w:val="none"/>
        </w:rPr>
      </w:pPr>
      <w:r>
        <w:rPr>
          <w:rFonts w:hint="default" w:ascii="仿宋_GB2312" w:eastAsia="仿宋_GB2312"/>
          <w:b/>
          <w:bCs/>
          <w:color w:val="auto"/>
          <w:kern w:val="2"/>
          <w:sz w:val="32"/>
          <w:szCs w:val="32"/>
          <w:highlight w:val="none"/>
          <w:lang w:val="en-US" w:eastAsia="zh-CN" w:bidi="ar-SA"/>
        </w:rPr>
        <w:t>2．</w:t>
      </w:r>
      <w:r>
        <w:rPr>
          <w:rFonts w:hint="eastAsia" w:ascii="仿宋_GB2312"/>
          <w:b/>
          <w:bCs w:val="0"/>
          <w:color w:val="auto"/>
          <w:sz w:val="32"/>
          <w:szCs w:val="32"/>
          <w:highlight w:val="none"/>
        </w:rPr>
        <w:t>质量指标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质量指标为学校校舍日常维修改造质量达标率，预期指标值为等于100%，实际完成值为100%，指标达到预期目标。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质量指标为工程竣工验收合格率，预期指标值为等于100%，实际完成值为100%，指标达到预期目标。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43" w:firstLineChars="200"/>
        <w:jc w:val="both"/>
        <w:textAlignment w:val="auto"/>
        <w:rPr>
          <w:rFonts w:hint="eastAsia" w:ascii="仿宋_GB2312"/>
          <w:color w:val="auto"/>
          <w:sz w:val="32"/>
          <w:szCs w:val="32"/>
          <w:highlight w:val="none"/>
        </w:rPr>
      </w:pPr>
      <w:r>
        <w:rPr>
          <w:rFonts w:hint="default" w:ascii="仿宋_GB2312" w:eastAsia="仿宋_GB2312"/>
          <w:b/>
          <w:bCs/>
          <w:color w:val="auto"/>
          <w:kern w:val="2"/>
          <w:sz w:val="32"/>
          <w:szCs w:val="32"/>
          <w:highlight w:val="none"/>
          <w:lang w:val="en-US" w:eastAsia="zh-CN" w:bidi="ar-SA"/>
        </w:rPr>
        <w:t>3．</w:t>
      </w:r>
      <w:r>
        <w:rPr>
          <w:rFonts w:hint="eastAsia" w:ascii="仿宋_GB2312"/>
          <w:b/>
          <w:color w:val="auto"/>
          <w:sz w:val="32"/>
          <w:szCs w:val="32"/>
          <w:highlight w:val="none"/>
        </w:rPr>
        <w:t>时效指标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时效指标为项目完成及时率，预期指标值为等于100%，实际完成值为100%，指标达到预期目标。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时效指标为项目完成时间，预期指标值为2024年12月，实际完成值为2024年12月，指标达到预期目标。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600" w:leftChars="200" w:firstLine="640" w:firstLineChars="200"/>
        <w:jc w:val="both"/>
        <w:textAlignment w:val="auto"/>
        <w:rPr>
          <w:rFonts w:ascii="仿宋_GB2312"/>
          <w:color w:val="auto"/>
          <w:sz w:val="32"/>
          <w:szCs w:val="32"/>
          <w:highlight w:val="none"/>
        </w:rPr>
      </w:pPr>
    </w:p>
    <w:p>
      <w:pPr>
        <w:keepNext w:val="0"/>
        <w:keepLines w:val="0"/>
        <w:pageBreakBefore w:val="0"/>
        <w:widowControl w:val="0"/>
        <w:kinsoku/>
        <w:wordWrap/>
        <w:overflowPunct/>
        <w:topLinePunct w:val="0"/>
        <w:autoSpaceDE/>
        <w:bidi w:val="0"/>
        <w:spacing w:line="560" w:lineRule="exact"/>
        <w:ind w:firstLine="643" w:firstLineChars="200"/>
        <w:jc w:val="both"/>
        <w:textAlignment w:val="auto"/>
        <w:rPr>
          <w:rFonts w:hint="eastAsia" w:ascii="仿宋_GB2312"/>
          <w:b/>
          <w:color w:val="auto"/>
          <w:sz w:val="32"/>
          <w:szCs w:val="32"/>
          <w:highlight w:val="none"/>
        </w:rPr>
      </w:pPr>
      <w:r>
        <w:rPr>
          <w:rFonts w:hint="eastAsia" w:ascii="仿宋_GB2312"/>
          <w:b/>
          <w:color w:val="auto"/>
          <w:sz w:val="32"/>
          <w:szCs w:val="32"/>
          <w:highlight w:val="none"/>
        </w:rPr>
        <w:t>4．成本指标</w:t>
      </w:r>
    </w:p>
    <w:p>
      <w:pPr>
        <w:pageBreakBefore w:val="0"/>
        <w:widowControl w:val="0"/>
        <w:kinsoku/>
        <w:wordWrap/>
        <w:overflowPunct/>
        <w:topLinePunct w:val="0"/>
        <w:autoSpaceDE/>
        <w:bidi w:val="0"/>
        <w:spacing w:line="560" w:lineRule="exact"/>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color w:val="auto"/>
          <w:sz w:val="32"/>
          <w:szCs w:val="32"/>
          <w:highlight w:val="none"/>
          <w:lang w:val="en-US" w:eastAsia="zh-CN"/>
        </w:rPr>
        <w:t>无。</w:t>
      </w:r>
    </w:p>
    <w:p>
      <w:pPr>
        <w:pageBreakBefore w:val="0"/>
        <w:widowControl w:val="0"/>
        <w:kinsoku/>
        <w:wordWrap/>
        <w:overflowPunct/>
        <w:topLinePunct w:val="0"/>
        <w:autoSpaceDE/>
        <w:bidi w:val="0"/>
        <w:spacing w:line="560" w:lineRule="exact"/>
        <w:ind w:firstLine="643" w:firstLineChars="200"/>
        <w:jc w:val="both"/>
        <w:textAlignment w:val="auto"/>
        <w:rPr>
          <w:rFonts w:ascii="楷体" w:hAnsi="楷体" w:eastAsia="楷体" w:cs="宋体"/>
          <w:b/>
          <w:bCs w:val="0"/>
          <w:color w:val="auto"/>
          <w:sz w:val="32"/>
          <w:szCs w:val="32"/>
          <w:highlight w:val="none"/>
        </w:rPr>
      </w:pPr>
      <w:r>
        <w:rPr>
          <w:rFonts w:hint="eastAsia" w:ascii="楷体" w:hAnsi="楷体" w:eastAsia="楷体" w:cs="宋体"/>
          <w:b/>
          <w:bCs w:val="0"/>
          <w:color w:val="auto"/>
          <w:sz w:val="32"/>
          <w:szCs w:val="32"/>
          <w:highlight w:val="none"/>
        </w:rPr>
        <w:t>（四）项目效益情况</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1．经济效益指标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hAnsi="仿宋" w:eastAsia="仿宋_GB2312" w:cs="宋体"/>
          <w:bCs/>
          <w:color w:val="auto"/>
          <w:sz w:val="32"/>
          <w:szCs w:val="32"/>
          <w:highlight w:val="none"/>
          <w:lang w:eastAsia="zh-CN"/>
        </w:rPr>
      </w:pPr>
      <w:r>
        <w:rPr>
          <w:rFonts w:hint="eastAsia" w:ascii="仿宋_GB2312" w:hAnsi="仿宋" w:cs="宋体"/>
          <w:bCs/>
          <w:color w:val="auto"/>
          <w:sz w:val="32"/>
          <w:szCs w:val="32"/>
          <w:highlight w:val="none"/>
          <w:lang w:val="en-US" w:eastAsia="zh-CN"/>
        </w:rPr>
        <w:t>无。</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2．社会效益指标</w:t>
      </w:r>
    </w:p>
    <w:p>
      <w:pPr>
        <w:pageBreakBefore w:val="0"/>
        <w:widowControl w:val="0"/>
        <w:kinsoku/>
        <w:wordWrap/>
        <w:overflowPunct/>
        <w:topLinePunct w:val="0"/>
        <w:autoSpaceDE/>
        <w:bidi w:val="0"/>
        <w:spacing w:line="560" w:lineRule="exact"/>
        <w:ind w:firstLine="640" w:firstLineChars="200"/>
        <w:jc w:val="both"/>
        <w:textAlignment w:val="auto"/>
        <w:rPr>
          <w:rFonts w:ascii="仿宋_GB2312" w:hAnsi="仿宋" w:cs="宋体"/>
          <w:bCs/>
          <w:color w:val="auto"/>
          <w:sz w:val="32"/>
          <w:szCs w:val="32"/>
          <w:highlight w:val="none"/>
        </w:rPr>
      </w:pPr>
      <w:r>
        <w:rPr>
          <w:rFonts w:hint="eastAsia" w:ascii="仿宋_GB2312" w:hAnsi="仿宋" w:cs="宋体"/>
          <w:bCs/>
          <w:color w:val="auto"/>
          <w:sz w:val="32"/>
          <w:szCs w:val="32"/>
          <w:highlight w:val="none"/>
        </w:rPr>
        <w:t>社会效益指标为提升学校教育办学质量，预期指标值为进一步提升，实际完成值为进一步提升，指标达到预期目标。</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3．生态效益指标</w:t>
      </w:r>
    </w:p>
    <w:p>
      <w:pPr>
        <w:pageBreakBefore w:val="0"/>
        <w:widowControl w:val="0"/>
        <w:kinsoku/>
        <w:wordWrap/>
        <w:overflowPunct/>
        <w:topLinePunct w:val="0"/>
        <w:autoSpaceDE/>
        <w:bidi w:val="0"/>
        <w:spacing w:line="560" w:lineRule="exact"/>
        <w:ind w:firstLine="640" w:firstLineChars="200"/>
        <w:jc w:val="both"/>
        <w:textAlignment w:val="auto"/>
        <w:rPr>
          <w:rFonts w:hint="default" w:ascii="仿宋_GB2312" w:hAnsi="仿宋" w:eastAsia="仿宋_GB2312" w:cs="宋体"/>
          <w:bCs/>
          <w:color w:val="auto"/>
          <w:sz w:val="32"/>
          <w:szCs w:val="32"/>
          <w:highlight w:val="none"/>
          <w:lang w:val="en-US" w:eastAsia="zh-CN"/>
        </w:rPr>
      </w:pPr>
      <w:r>
        <w:rPr>
          <w:rFonts w:hint="eastAsia" w:ascii="仿宋_GB2312" w:hAnsi="仿宋" w:cs="宋体"/>
          <w:bCs/>
          <w:color w:val="auto"/>
          <w:sz w:val="32"/>
          <w:szCs w:val="32"/>
          <w:highlight w:val="none"/>
          <w:lang w:val="en-US" w:eastAsia="zh-CN"/>
        </w:rPr>
        <w:t>无。</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4．满意度指标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hAnsi="仿宋" w:cs="宋体"/>
          <w:bCs/>
          <w:color w:val="auto"/>
          <w:sz w:val="32"/>
          <w:szCs w:val="32"/>
          <w:highlight w:val="none"/>
        </w:rPr>
        <w:t>满意度指标为家长和学生满意度，预期指标值为大于等于90%，经问卷调查，实际完成值为90%，指标达到预期目标。</w:t>
      </w:r>
    </w:p>
    <w:p>
      <w:pPr>
        <w:pStyle w:val="5"/>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rPr>
          <w:rFonts w:hint="eastAsia" w:ascii="黑体" w:hAnsi="黑体" w:eastAsia="黑体" w:cs="仿宋_GB2312"/>
          <w:b w:val="0"/>
          <w:bCs w:val="0"/>
          <w:color w:val="auto"/>
          <w:kern w:val="2"/>
          <w:sz w:val="32"/>
          <w:szCs w:val="32"/>
          <w:highlight w:val="none"/>
          <w:lang w:val="en-US" w:eastAsia="zh-CN" w:bidi="ar-SA"/>
        </w:rPr>
      </w:pPr>
      <w:r>
        <w:rPr>
          <w:rFonts w:hint="default" w:ascii="黑体" w:hAnsi="黑体" w:eastAsia="黑体" w:cs="仿宋_GB2312"/>
          <w:b w:val="0"/>
          <w:bCs w:val="0"/>
          <w:color w:val="auto"/>
          <w:kern w:val="2"/>
          <w:sz w:val="32"/>
          <w:szCs w:val="32"/>
          <w:highlight w:val="none"/>
          <w:lang w:val="en-US" w:eastAsia="zh-CN" w:bidi="ar-SA"/>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ascii="楷体" w:hAnsi="楷体" w:eastAsia="楷体"/>
          <w:b/>
          <w:bCs/>
          <w:color w:val="auto"/>
          <w:sz w:val="32"/>
          <w:szCs w:val="32"/>
          <w:highlight w:val="none"/>
        </w:rPr>
      </w:pPr>
      <w:r>
        <w:rPr>
          <w:rFonts w:hint="eastAsia" w:ascii="楷体" w:hAnsi="楷体" w:eastAsia="楷体"/>
          <w:b/>
          <w:bCs/>
          <w:color w:val="auto"/>
          <w:sz w:val="32"/>
          <w:szCs w:val="32"/>
          <w:highlight w:val="none"/>
        </w:rPr>
        <w:t>（一）主要经验及做法</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b w:val="0"/>
          <w:color w:val="auto"/>
          <w:highlight w:val="none"/>
        </w:rPr>
      </w:pPr>
      <w:r>
        <w:rPr>
          <w:rFonts w:hint="eastAsia"/>
          <w:b w:val="0"/>
          <w:color w:val="auto"/>
          <w:highlight w:val="none"/>
        </w:rPr>
        <w:t>本项目实施效果较好的原因主要是管理制度完善、责任落实到位，跟踪考核机制完善且运行有效，在项目实施过程中创新管理办法，采用成本效益分析法、比较法、最低成本法使项目取得了良好的效果。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b/>
          <w:bCs/>
          <w:color w:val="auto"/>
          <w:sz w:val="32"/>
          <w:szCs w:val="32"/>
          <w:highlight w:val="none"/>
        </w:rPr>
      </w:pPr>
      <w:r>
        <w:rPr>
          <w:rFonts w:hint="eastAsia" w:ascii="楷体" w:hAnsi="楷体" w:eastAsia="楷体"/>
          <w:b/>
          <w:bCs/>
          <w:color w:val="auto"/>
          <w:sz w:val="32"/>
          <w:szCs w:val="32"/>
          <w:highlight w:val="none"/>
        </w:rPr>
        <w:t>（二）存在的问题及原因分析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olor w:val="auto"/>
          <w:sz w:val="36"/>
          <w:szCs w:val="32"/>
          <w:highlight w:val="none"/>
        </w:rPr>
      </w:pPr>
      <w:r>
        <w:rPr>
          <w:rFonts w:hint="eastAsia"/>
          <w:color w:val="auto"/>
          <w:sz w:val="32"/>
          <w:highlight w:val="none"/>
        </w:rPr>
        <w:t>本项目全年预算数</w:t>
      </w:r>
      <w:r>
        <w:rPr>
          <w:rFonts w:hint="eastAsia"/>
          <w:color w:val="auto"/>
          <w:sz w:val="32"/>
          <w:highlight w:val="none"/>
          <w:lang w:eastAsia="zh-CN"/>
        </w:rPr>
        <w:t>1230万元</w:t>
      </w:r>
      <w:r>
        <w:rPr>
          <w:rFonts w:hint="eastAsia"/>
          <w:color w:val="auto"/>
          <w:sz w:val="32"/>
          <w:highlight w:val="none"/>
        </w:rPr>
        <w:t>，执行数</w:t>
      </w:r>
      <w:r>
        <w:rPr>
          <w:rFonts w:hint="eastAsia"/>
          <w:color w:val="auto"/>
          <w:sz w:val="32"/>
          <w:highlight w:val="none"/>
          <w:lang w:eastAsia="zh-CN"/>
        </w:rPr>
        <w:t>1151.81万元</w:t>
      </w:r>
      <w:r>
        <w:rPr>
          <w:rFonts w:hint="eastAsia"/>
          <w:color w:val="auto"/>
          <w:sz w:val="32"/>
          <w:highlight w:val="none"/>
        </w:rPr>
        <w:t>，执行率</w:t>
      </w:r>
      <w:r>
        <w:rPr>
          <w:rFonts w:hint="eastAsia"/>
          <w:color w:val="auto"/>
          <w:sz w:val="32"/>
          <w:highlight w:val="none"/>
          <w:lang w:eastAsia="zh-CN"/>
        </w:rPr>
        <w:t>93.60%</w:t>
      </w:r>
      <w:r>
        <w:rPr>
          <w:rFonts w:hint="eastAsia"/>
          <w:color w:val="auto"/>
          <w:sz w:val="32"/>
          <w:highlight w:val="none"/>
        </w:rPr>
        <w:t>，绩效指标完成率</w:t>
      </w:r>
      <w:r>
        <w:rPr>
          <w:rFonts w:hint="eastAsia"/>
          <w:color w:val="auto"/>
          <w:sz w:val="32"/>
          <w:highlight w:val="none"/>
          <w:lang w:val="en-US" w:eastAsia="zh-CN"/>
        </w:rPr>
        <w:t>100</w:t>
      </w:r>
      <w:r>
        <w:rPr>
          <w:rFonts w:hint="eastAsia"/>
          <w:color w:val="auto"/>
          <w:sz w:val="32"/>
          <w:highlight w:val="none"/>
        </w:rPr>
        <w:t>%，偏差率</w:t>
      </w:r>
      <w:r>
        <w:rPr>
          <w:rFonts w:hint="eastAsia"/>
          <w:color w:val="auto"/>
          <w:sz w:val="32"/>
          <w:highlight w:val="none"/>
          <w:lang w:val="en-US" w:eastAsia="zh-CN"/>
        </w:rPr>
        <w:t>6.40%</w:t>
      </w:r>
      <w:r>
        <w:rPr>
          <w:rFonts w:hint="eastAsia"/>
          <w:color w:val="auto"/>
          <w:sz w:val="32"/>
          <w:highlight w:val="none"/>
        </w:rPr>
        <w:t>。偏差原因：</w:t>
      </w:r>
      <w:r>
        <w:rPr>
          <w:rFonts w:hint="eastAsia"/>
          <w:color w:val="auto"/>
          <w:sz w:val="32"/>
          <w:highlight w:val="none"/>
          <w:lang w:val="en-US" w:eastAsia="zh-CN"/>
        </w:rPr>
        <w:t>根据实际产生的费用进行支出，剩余资金结转至2025年支出，因此指标完成情况存在偏差。</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eastAsia="黑体"/>
          <w:b w:val="0"/>
          <w:bCs w:val="0"/>
          <w:color w:val="auto"/>
          <w:highlight w:val="none"/>
        </w:rPr>
      </w:pPr>
      <w:r>
        <w:rPr>
          <w:rFonts w:hint="eastAsia" w:ascii="黑体" w:hAnsi="黑体" w:eastAsia="黑体"/>
          <w:b w:val="0"/>
          <w:bCs w:val="0"/>
          <w:color w:val="auto"/>
          <w:highlight w:val="none"/>
          <w:lang w:val="en-US" w:eastAsia="zh-CN"/>
        </w:rPr>
        <w:t>六、有关建议</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预算编制工作，认真做好预算的编制。全面编制预算项目，优先保障固定性的、相对刚性的费用支出项目，尽量压缩变动性的、有控制空间的费用项目，进一步提高预算编制的科学性、严谨性和可控性。</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开展进度的跟踪，确保项目绩效目标的完成。规范程序，严格把关。进一步完善项目申报、审核、公示、审批等程序，做好项目信息公开，公开内容要及时、完整、真实，确保项目公平、公开、公正。</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b w:val="0"/>
          <w:color w:val="auto"/>
          <w:highlight w:val="none"/>
        </w:rPr>
      </w:pPr>
      <w:r>
        <w:rPr>
          <w:rFonts w:hint="eastAsia" w:ascii="仿宋_GB2312" w:hAnsi="仿宋" w:eastAsia="仿宋_GB2312" w:cs="宋体"/>
          <w:b w:val="0"/>
          <w:color w:val="auto"/>
          <w:kern w:val="2"/>
          <w:highlight w:val="none"/>
        </w:rPr>
        <w:t>健全制度，加强督促。针对项目实施中存在的问题，进一步完善相关制度，加强督促检查，</w:t>
      </w:r>
      <w:bookmarkStart w:id="0" w:name="_GoBack"/>
      <w:bookmarkEnd w:id="0"/>
      <w:r>
        <w:rPr>
          <w:rFonts w:hint="eastAsia" w:ascii="仿宋_GB2312" w:hAnsi="仿宋" w:eastAsia="仿宋_GB2312" w:cs="宋体"/>
          <w:b w:val="0"/>
          <w:color w:val="auto"/>
          <w:kern w:val="2"/>
          <w:highlight w:val="none"/>
        </w:rPr>
        <w:t>同时及时完善资料。</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eastAsia="黑体"/>
          <w:b w:val="0"/>
          <w:bCs w:val="0"/>
          <w:color w:val="auto"/>
          <w:highlight w:val="none"/>
        </w:rPr>
      </w:pPr>
      <w:r>
        <w:rPr>
          <w:rFonts w:hint="eastAsia" w:ascii="黑体" w:hAnsi="黑体" w:eastAsia="黑体"/>
          <w:b w:val="0"/>
          <w:bCs w:val="0"/>
          <w:color w:val="auto"/>
          <w:highlight w:val="none"/>
          <w:lang w:val="en-US" w:eastAsia="zh-CN"/>
        </w:rPr>
        <w:t>七</w:t>
      </w:r>
      <w:r>
        <w:rPr>
          <w:rFonts w:hint="eastAsia" w:ascii="黑体" w:hAnsi="黑体" w:eastAsia="黑体"/>
          <w:b w:val="0"/>
          <w:bCs w:val="0"/>
          <w:color w:val="auto"/>
          <w:highlight w:val="none"/>
        </w:rPr>
        <w:t>、其他需要说明的问题</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both"/>
        <w:textAlignment w:val="auto"/>
        <w:rPr>
          <w:rFonts w:hint="eastAsia"/>
          <w:color w:val="auto"/>
          <w:highlight w:val="none"/>
          <w:lang w:val="en-US" w:eastAsia="zh-CN"/>
        </w:rPr>
      </w:pPr>
      <w:r>
        <w:rPr>
          <w:rFonts w:hint="eastAsia"/>
          <w:color w:val="auto"/>
          <w:highlight w:val="none"/>
          <w:lang w:val="en-US" w:eastAsia="zh-CN"/>
        </w:rPr>
        <w:t>无。</w:t>
      </w:r>
    </w:p>
    <w:p>
      <w:pPr>
        <w:pStyle w:val="2"/>
        <w:rPr>
          <w:rFonts w:hint="eastAsia"/>
          <w:color w:val="auto"/>
          <w:highlight w:val="none"/>
        </w:rPr>
      </w:pPr>
    </w:p>
    <w:p>
      <w:pPr>
        <w:spacing w:line="560" w:lineRule="exact"/>
        <w:rPr>
          <w:rFonts w:hint="eastAsia" w:ascii="仿宋_GB2312" w:hAnsi="仿宋_GB2312" w:cs="仿宋_GB2312"/>
          <w:color w:val="auto"/>
          <w:sz w:val="32"/>
          <w:szCs w:val="32"/>
          <w:highlight w:val="none"/>
        </w:rPr>
      </w:pPr>
      <w:r>
        <w:br w:type="page"/>
      </w:r>
      <w:r>
        <w:rPr>
          <w:rFonts w:hint="eastAsia" w:ascii="仿宋_GB2312" w:hAnsi="仿宋_GB2312" w:cs="仿宋_GB2312"/>
          <w:color w:val="auto"/>
          <w:sz w:val="32"/>
          <w:szCs w:val="32"/>
          <w:highlight w:val="none"/>
        </w:rPr>
        <w:t>附件1</w:t>
      </w:r>
    </w:p>
    <w:p>
      <w:pPr>
        <w:spacing w:line="560" w:lineRule="exact"/>
        <w:ind w:left="600" w:leftChars="200" w:firstLine="2240" w:firstLineChars="7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绩效评价指标体系</w:t>
      </w:r>
    </w:p>
    <w:tbl>
      <w:tblPr>
        <w:tblStyle w:val="12"/>
        <w:tblW w:w="9859"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92" w:hRule="atLeast"/>
          <w:tblHeader/>
          <w:jc w:val="center"/>
        </w:trPr>
        <w:tc>
          <w:tcPr>
            <w:tcW w:w="757" w:type="dxa"/>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一级指标</w:t>
            </w:r>
          </w:p>
        </w:tc>
        <w:tc>
          <w:tcPr>
            <w:tcW w:w="1478" w:type="dxa"/>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二级指标</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三级指标</w:t>
            </w:r>
          </w:p>
        </w:tc>
        <w:tc>
          <w:tcPr>
            <w:tcW w:w="3885" w:type="dxa"/>
            <w:tcBorders>
              <w:right w:val="single" w:color="auto" w:sz="4" w:space="0"/>
            </w:tcBorders>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指标解释</w:t>
            </w:r>
          </w:p>
        </w:tc>
        <w:tc>
          <w:tcPr>
            <w:tcW w:w="990" w:type="dxa"/>
            <w:tcBorders>
              <w:left w:val="single" w:color="auto" w:sz="4" w:space="0"/>
            </w:tcBorders>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分值</w:t>
            </w:r>
          </w:p>
        </w:tc>
        <w:tc>
          <w:tcPr>
            <w:tcW w:w="874" w:type="dxa"/>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95" w:hRule="atLeast"/>
          <w:jc w:val="center"/>
        </w:trPr>
        <w:tc>
          <w:tcPr>
            <w:tcW w:w="757"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决策</w:t>
            </w: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　</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立项依据</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充分性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项目立项是否符合法律法规、相关政策、发展规划以及部门职责，用以反映和考核项目立项依据情况。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7"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立项程序</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规范性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项目申请、设立过程是否符合相关要求，用以反映和考核项目立项的规范情况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13"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项目所设定的绩效目标是否依据充分，是否符合客观实际，用以反映和考核项目绩效目标与项目实施的相符情况。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93"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绩效指标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明确性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依据绩效目标设定的绩效指标是否清晰、细化、可衡量等，用以反映和考核项目绩效目标的明细化情况。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1"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资金投入</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预算编制</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科学性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54"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资金分配</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项目预算资金分配是否有测算依据，与补助单位或地方实际是否相适应，用以反映和考核项目预算资金分配的科学性、合理性情况。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8" w:hRule="atLeast"/>
          <w:jc w:val="center"/>
        </w:trPr>
        <w:tc>
          <w:tcPr>
            <w:tcW w:w="757" w:type="dxa"/>
            <w:vMerge w:val="restart"/>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过程</w:t>
            </w: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资金到位率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实际到位资金与预算资金的比率，用以反映和考核资金落实情况对项目实施的总体保障程度。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82"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预算执行率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项目预算资金是否按照计划执行，用以反映或考核项目预算执行情况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tcBorders>
              <w:bottom w:val="single" w:color="auto" w:sz="4" w:space="0"/>
            </w:tcBorders>
            <w:vAlign w:val="center"/>
          </w:tcPr>
          <w:p>
            <w:pPr>
              <w:spacing w:line="400" w:lineRule="exact"/>
              <w:jc w:val="center"/>
              <w:rPr>
                <w:rFonts w:hint="default" w:ascii="仿宋_GB2312" w:hAnsi="仿宋_GB2312" w:eastAsia="仿宋_GB2312" w:cs="仿宋_GB2312"/>
                <w:color w:val="auto"/>
                <w:sz w:val="24"/>
                <w:highlight w:val="none"/>
                <w:lang w:val="en-US" w:eastAsia="zh-CN"/>
              </w:rPr>
            </w:pPr>
            <w:r>
              <w:rPr>
                <w:rFonts w:hint="eastAsia" w:ascii="仿宋_GB2312" w:hAnsi="仿宋_GB2312" w:cs="仿宋_GB2312"/>
                <w:color w:val="auto"/>
                <w:sz w:val="24"/>
                <w:highlight w:val="none"/>
                <w:lang w:val="en-US" w:eastAsia="zh-CN"/>
              </w:rPr>
              <w:t>4.68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7"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资金使用</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合规性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项目资金使用是否符合相关的财务管理制度规定，用以反映和考核项目资金的规范运行情况。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86"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组织实施</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管理制度</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健全性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项目实施单位的财务和业务管理制度是否健全，用以反映和考核财务和业务管理制度对项目顺利实施的保障情况。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77"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制度执行</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有效性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项目实施是否符合相关管理规定，用以反映和考核相关管理制度的有效执行情况。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36" w:hRule="atLeast"/>
          <w:jc w:val="center"/>
        </w:trPr>
        <w:tc>
          <w:tcPr>
            <w:tcW w:w="757"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w:t>
            </w:r>
          </w:p>
        </w:tc>
        <w:tc>
          <w:tcPr>
            <w:tcW w:w="1478" w:type="dxa"/>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产出数量</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实际完成率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项目实施的实际产出数与计划产出数的比率，用以反映和考核项目产出数量目标的实现程度。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4"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产出质量</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质量达标率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项目完成的质量达标产出数与实际产出数的比率，用以反映和考核项目产出质量目标的实现程度。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9"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产出时效</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完成及时性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项目实际完成时间与计划完成时间的比较，用以反映和考核项目产出时效目标的实现程度。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16"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产出成本</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成本节约率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完成项目计划工作目标的实际节约成本与计划成本的比率，用以反映和考核项目的成本节约程度。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05" w:hRule="atLeast"/>
          <w:jc w:val="center"/>
        </w:trPr>
        <w:tc>
          <w:tcPr>
            <w:tcW w:w="757"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效益　</w:t>
            </w: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项目效益　</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实施效益</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项目实施所产生的效益。</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20"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满意度</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社会公众或服务对象对项目实施效果的满意程度。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b/>
                <w:bCs/>
                <w:color w:val="auto"/>
                <w:kern w:val="0"/>
                <w:sz w:val="24"/>
                <w:highlight w:val="none"/>
              </w:rPr>
              <w:t>总分</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p>
        </w:tc>
        <w:tc>
          <w:tcPr>
            <w:tcW w:w="990" w:type="dxa"/>
            <w:tcBorders>
              <w:lef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100</w:t>
            </w:r>
          </w:p>
        </w:tc>
        <w:tc>
          <w:tcPr>
            <w:tcW w:w="874" w:type="dxa"/>
            <w:vAlign w:val="center"/>
          </w:tcPr>
          <w:p>
            <w:pPr>
              <w:widowControl/>
              <w:spacing w:line="400" w:lineRule="exact"/>
              <w:jc w:val="center"/>
              <w:rPr>
                <w:rFonts w:hint="eastAsia" w:ascii="仿宋_GB2312" w:hAnsi="仿宋_GB2312" w:eastAsia="仿宋_GB2312" w:cs="仿宋_GB2312"/>
                <w:color w:val="auto"/>
                <w:kern w:val="0"/>
                <w:sz w:val="24"/>
                <w:highlight w:val="none"/>
                <w:lang w:eastAsia="zh-CN"/>
              </w:rPr>
            </w:pPr>
            <w:r>
              <w:rPr>
                <w:rFonts w:hint="eastAsia" w:ascii="仿宋_GB2312" w:hAnsi="仿宋_GB2312" w:cs="仿宋_GB2312"/>
                <w:color w:val="auto"/>
                <w:kern w:val="0"/>
                <w:sz w:val="24"/>
                <w:highlight w:val="none"/>
                <w:lang w:eastAsia="zh-CN"/>
              </w:rPr>
              <w:t>99.68</w:t>
            </w:r>
          </w:p>
        </w:tc>
      </w:tr>
    </w:tbl>
    <w:p>
      <w:pPr>
        <w:spacing w:line="560" w:lineRule="exact"/>
        <w:rPr>
          <w:rFonts w:hint="eastAsia" w:ascii="仿宋_GB2312" w:hAnsi="仿宋_GB2312" w:cs="仿宋_GB2312"/>
          <w:color w:val="auto"/>
          <w:highlight w:val="none"/>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CCEBF2"/>
    <w:multiLevelType w:val="multilevel"/>
    <w:tmpl w:val="68CCEBF2"/>
    <w:lvl w:ilvl="0" w:tentative="0">
      <w:start w:val="1"/>
      <w:numFmt w:val="chineseCountingThousand"/>
      <w:pStyle w:val="30"/>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8CCEBFD"/>
    <w:multiLevelType w:val="singleLevel"/>
    <w:tmpl w:val="68CCEBFD"/>
    <w:lvl w:ilvl="0" w:tentative="0">
      <w:start w:val="3"/>
      <w:numFmt w:val="decimal"/>
      <w:suff w:val="nothing"/>
      <w:lvlText w:val="%1．"/>
      <w:lvlJc w:val="left"/>
      <w:rPr>
        <w:rFonts w:hint="default"/>
        <w:b/>
        <w:bCs/>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GZlMjdkODEyNTc2ZDAwN2RkM2JkNjRmYzZhOGM2MzQifQ=="/>
  </w:docVars>
  <w:rsids>
    <w:rsidRoot w:val="00000000"/>
    <w:rsid w:val="05C96528"/>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8"/>
    <w:unhideWhenUsed/>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2">
    <w:name w:val="heading 3"/>
    <w:basedOn w:val="1"/>
    <w:next w:val="1"/>
    <w:qFormat/>
    <w:uiPriority w:val="99"/>
    <w:pPr>
      <w:keepNext/>
      <w:keepLines/>
      <w:ind w:firstLine="883"/>
      <w:outlineLvl w:val="2"/>
    </w:pPr>
    <w:rPr>
      <w:b/>
      <w:bCs/>
      <w:kern w:val="0"/>
      <w:szCs w:val="32"/>
    </w:rPr>
  </w:style>
  <w:style w:type="paragraph" w:styleId="5">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rPr>
  </w:style>
  <w:style w:type="character" w:default="1" w:styleId="10">
    <w:name w:val="Default Paragraph Font"/>
    <w:semiHidden/>
    <w:uiPriority w:val="0"/>
  </w:style>
  <w:style w:type="table" w:default="1" w:styleId="12">
    <w:name w:val="Normal Table"/>
    <w:semiHidden/>
    <w:uiPriority w:val="0"/>
    <w:tblPr>
      <w:tblLayout w:type="fixed"/>
      <w:tblCellMar>
        <w:top w:w="0" w:type="dxa"/>
        <w:left w:w="108" w:type="dxa"/>
        <w:bottom w:w="0" w:type="dxa"/>
        <w:right w:w="108" w:type="dxa"/>
      </w:tblCellMar>
    </w:tblPr>
  </w:style>
  <w:style w:type="paragraph" w:styleId="6">
    <w:name w:val="Body Text"/>
    <w:basedOn w:val="1"/>
    <w:qFormat/>
    <w:uiPriority w:val="0"/>
  </w:style>
  <w:style w:type="paragraph" w:styleId="7">
    <w:name w:val="Balloon Text"/>
    <w:basedOn w:val="1"/>
    <w:link w:val="20"/>
    <w:uiPriority w:val="0"/>
    <w:rPr>
      <w:sz w:val="18"/>
      <w:szCs w:val="18"/>
    </w:rPr>
  </w:style>
  <w:style w:type="paragraph" w:styleId="8">
    <w:name w:val="footer"/>
    <w:basedOn w:val="1"/>
    <w:link w:val="21"/>
    <w:uiPriority w:val="0"/>
    <w:pPr>
      <w:tabs>
        <w:tab w:val="center" w:pos="4153"/>
        <w:tab w:val="right" w:pos="8306"/>
      </w:tabs>
      <w:snapToGrid w:val="0"/>
      <w:jc w:val="left"/>
    </w:pPr>
    <w:rPr>
      <w:sz w:val="18"/>
      <w:szCs w:val="18"/>
    </w:rPr>
  </w:style>
  <w:style w:type="paragraph" w:styleId="9">
    <w:name w:val="header"/>
    <w:basedOn w:val="1"/>
    <w:link w:val="22"/>
    <w:uiPriority w:val="0"/>
    <w:pPr>
      <w:pBdr>
        <w:bottom w:val="single" w:color="auto" w:sz="6" w:space="1"/>
      </w:pBdr>
      <w:tabs>
        <w:tab w:val="center" w:pos="4153"/>
        <w:tab w:val="right" w:pos="8306"/>
      </w:tabs>
      <w:snapToGrid w:val="0"/>
      <w:jc w:val="center"/>
    </w:pPr>
    <w:rPr>
      <w:sz w:val="18"/>
      <w:szCs w:val="18"/>
    </w:rPr>
  </w:style>
  <w:style w:type="character" w:styleId="11">
    <w:name w:val="Strong"/>
    <w:qFormat/>
    <w:uiPriority w:val="0"/>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Comment Text"/>
    <w:basedOn w:val="1"/>
    <w:link w:val="19"/>
    <w:uiPriority w:val="0"/>
    <w:pPr>
      <w:jc w:val="left"/>
    </w:pPr>
  </w:style>
  <w:style w:type="paragraph" w:customStyle="1" w:styleId="15">
    <w:name w:val="Comment Subject"/>
    <w:basedOn w:val="14"/>
    <w:next w:val="14"/>
    <w:link w:val="23"/>
    <w:uiPriority w:val="0"/>
    <w:rPr>
      <w:b/>
      <w:bCs/>
    </w:rPr>
  </w:style>
  <w:style w:type="character" w:customStyle="1" w:styleId="16">
    <w:name w:val="Comment Reference"/>
    <w:uiPriority w:val="0"/>
    <w:rPr>
      <w:sz w:val="21"/>
      <w:szCs w:val="21"/>
    </w:rPr>
  </w:style>
  <w:style w:type="character" w:customStyle="1" w:styleId="17">
    <w:name w:val="标题 1 Char"/>
    <w:basedOn w:val="10"/>
    <w:link w:val="3"/>
    <w:uiPriority w:val="0"/>
    <w:rPr>
      <w:rFonts w:eastAsia="仿宋_GB2312"/>
      <w:b/>
      <w:bCs/>
      <w:kern w:val="44"/>
      <w:sz w:val="44"/>
      <w:szCs w:val="44"/>
    </w:rPr>
  </w:style>
  <w:style w:type="character" w:customStyle="1" w:styleId="18">
    <w:name w:val="标题 2 Char"/>
    <w:basedOn w:val="10"/>
    <w:link w:val="4"/>
    <w:semiHidden/>
    <w:uiPriority w:val="0"/>
    <w:rPr>
      <w:rFonts w:ascii="Cambria" w:hAnsi="Cambria" w:eastAsia="宋体" w:cs="Times New Roman"/>
      <w:b/>
      <w:bCs/>
      <w:kern w:val="2"/>
      <w:sz w:val="32"/>
      <w:szCs w:val="32"/>
    </w:rPr>
  </w:style>
  <w:style w:type="character" w:customStyle="1" w:styleId="19">
    <w:name w:val="批注文字 字符"/>
    <w:link w:val="14"/>
    <w:uiPriority w:val="0"/>
    <w:rPr>
      <w:rFonts w:eastAsia="仿宋_GB2312"/>
      <w:kern w:val="2"/>
      <w:sz w:val="30"/>
      <w:szCs w:val="24"/>
    </w:rPr>
  </w:style>
  <w:style w:type="character" w:customStyle="1" w:styleId="20">
    <w:name w:val="批注框文本 字符"/>
    <w:link w:val="7"/>
    <w:uiPriority w:val="0"/>
    <w:rPr>
      <w:rFonts w:eastAsia="仿宋_GB2312"/>
      <w:kern w:val="2"/>
      <w:sz w:val="18"/>
      <w:szCs w:val="18"/>
    </w:rPr>
  </w:style>
  <w:style w:type="character" w:customStyle="1" w:styleId="21">
    <w:name w:val="页脚 字符"/>
    <w:link w:val="8"/>
    <w:qFormat/>
    <w:uiPriority w:val="0"/>
    <w:rPr>
      <w:rFonts w:eastAsia="仿宋_GB2312"/>
      <w:kern w:val="2"/>
      <w:sz w:val="18"/>
      <w:szCs w:val="18"/>
    </w:rPr>
  </w:style>
  <w:style w:type="character" w:customStyle="1" w:styleId="22">
    <w:name w:val="页眉 字符"/>
    <w:link w:val="9"/>
    <w:qFormat/>
    <w:uiPriority w:val="0"/>
    <w:rPr>
      <w:rFonts w:eastAsia="仿宋_GB2312"/>
      <w:kern w:val="2"/>
      <w:sz w:val="18"/>
      <w:szCs w:val="18"/>
    </w:rPr>
  </w:style>
  <w:style w:type="character" w:customStyle="1" w:styleId="23">
    <w:name w:val="批注主题 字符"/>
    <w:link w:val="15"/>
    <w:qFormat/>
    <w:uiPriority w:val="0"/>
    <w:rPr>
      <w:rFonts w:eastAsia="仿宋_GB2312"/>
      <w:b/>
      <w:bCs/>
      <w:kern w:val="2"/>
      <w:sz w:val="30"/>
      <w:szCs w:val="24"/>
    </w:rPr>
  </w:style>
  <w:style w:type="character" w:customStyle="1" w:styleId="24">
    <w:name w:val="闻政正文 Char"/>
    <w:link w:val="25"/>
    <w:qFormat/>
    <w:uiPriority w:val="0"/>
    <w:rPr>
      <w:rFonts w:eastAsia="仿宋_GB2312"/>
      <w:sz w:val="28"/>
      <w:szCs w:val="28"/>
    </w:rPr>
  </w:style>
  <w:style w:type="paragraph" w:customStyle="1" w:styleId="25">
    <w:name w:val="闻政正文"/>
    <w:basedOn w:val="1"/>
    <w:link w:val="24"/>
    <w:qFormat/>
    <w:uiPriority w:val="0"/>
    <w:pPr>
      <w:spacing w:line="500" w:lineRule="exact"/>
      <w:ind w:firstLine="560" w:firstLineChars="200"/>
    </w:pPr>
    <w:rPr>
      <w:kern w:val="0"/>
      <w:sz w:val="28"/>
      <w:szCs w:val="28"/>
    </w:rPr>
  </w:style>
  <w:style w:type="character" w:customStyle="1" w:styleId="26">
    <w:name w:val="闻政-正文三级标题 Char"/>
    <w:link w:val="27"/>
    <w:qFormat/>
    <w:uiPriority w:val="3"/>
    <w:rPr>
      <w:rFonts w:eastAsia="仿宋_GB2312"/>
      <w:b/>
      <w:snapToGrid w:val="0"/>
      <w:sz w:val="28"/>
      <w:szCs w:val="28"/>
    </w:rPr>
  </w:style>
  <w:style w:type="paragraph" w:customStyle="1" w:styleId="27">
    <w:name w:val="闻政-正文三级标题"/>
    <w:basedOn w:val="1"/>
    <w:next w:val="1"/>
    <w:link w:val="26"/>
    <w:qFormat/>
    <w:uiPriority w:val="3"/>
    <w:pPr>
      <w:widowControl/>
      <w:spacing w:before="120" w:after="60" w:line="500" w:lineRule="exact"/>
      <w:ind w:left="200" w:leftChars="200"/>
    </w:pPr>
    <w:rPr>
      <w:b/>
      <w:snapToGrid w:val="0"/>
      <w:kern w:val="0"/>
      <w:sz w:val="28"/>
      <w:szCs w:val="28"/>
    </w:rPr>
  </w:style>
  <w:style w:type="character" w:customStyle="1" w:styleId="28">
    <w:name w:val="Body text|1_"/>
    <w:link w:val="29"/>
    <w:qFormat/>
    <w:uiPriority w:val="0"/>
    <w:rPr>
      <w:rFonts w:ascii="宋体" w:hAnsi="宋体" w:cs="宋体"/>
      <w:kern w:val="2"/>
      <w:sz w:val="30"/>
      <w:szCs w:val="30"/>
      <w:lang w:val="zh-TW" w:eastAsia="zh-TW" w:bidi="zh-TW"/>
    </w:rPr>
  </w:style>
  <w:style w:type="paragraph" w:customStyle="1" w:styleId="29">
    <w:name w:val="Body text|1"/>
    <w:basedOn w:val="1"/>
    <w:link w:val="28"/>
    <w:qFormat/>
    <w:uiPriority w:val="0"/>
    <w:pPr>
      <w:spacing w:line="420" w:lineRule="auto"/>
      <w:ind w:firstLine="400"/>
    </w:pPr>
    <w:rPr>
      <w:rFonts w:ascii="宋体" w:hAnsi="宋体" w:eastAsia="宋体" w:cs="宋体"/>
      <w:szCs w:val="30"/>
      <w:lang w:val="zh-TW" w:eastAsia="zh-TW" w:bidi="zh-TW"/>
    </w:rPr>
  </w:style>
  <w:style w:type="paragraph" w:customStyle="1" w:styleId="30">
    <w:name w:val="标题2"/>
    <w:basedOn w:val="4"/>
    <w:qFormat/>
    <w:uiPriority w:val="0"/>
    <w:pPr>
      <w:numPr>
        <w:ilvl w:val="0"/>
        <w:numId w:val="1"/>
      </w:numPr>
      <w:spacing w:before="120" w:after="120" w:line="500" w:lineRule="exact"/>
    </w:pPr>
    <w:rPr>
      <w:rFonts w:ascii="仿宋_GB2312" w:eastAsia="仿宋_GB2312" w:cs="Times New Roman"/>
    </w:rPr>
  </w:style>
  <w:style w:type="paragraph" w:customStyle="1" w:styleId="31">
    <w:name w:val="标题1"/>
    <w:basedOn w:val="3"/>
    <w:next w:val="1"/>
    <w:qFormat/>
    <w:uiPriority w:val="0"/>
    <w:pPr>
      <w:spacing w:before="120" w:after="120" w:line="500" w:lineRule="exact"/>
      <w:ind w:firstLine="200" w:firstLineChars="200"/>
    </w:pPr>
    <w:rPr>
      <w:rFonts w:eastAsia="黑体"/>
      <w:sz w:val="32"/>
      <w:szCs w:val="32"/>
    </w:rPr>
  </w:style>
  <w:style w:type="paragraph" w:customStyle="1" w:styleId="32">
    <w:name w:val="Other|1"/>
    <w:basedOn w:val="1"/>
    <w:qFormat/>
    <w:uiPriority w:val="0"/>
    <w:pPr>
      <w:spacing w:line="420" w:lineRule="auto"/>
      <w:ind w:firstLine="400"/>
    </w:pPr>
    <w:rPr>
      <w:rFonts w:ascii="宋体" w:hAnsi="宋体" w:eastAsia="宋体" w:cs="宋体"/>
      <w:szCs w:val="30"/>
      <w:lang w:val="zh-TW" w:eastAsia="zh-TW" w:bidi="zh-TW"/>
    </w:rPr>
  </w:style>
  <w:style w:type="paragraph" w:customStyle="1" w:styleId="33">
    <w:name w:val="List Paragraph"/>
    <w:basedOn w:val="1"/>
    <w:qFormat/>
    <w:uiPriority w:val="34"/>
    <w:pPr>
      <w:ind w:firstLine="420" w:firstLineChars="200"/>
    </w:pPr>
    <w:rPr>
      <w:rFonts w:ascii="Calibri" w:hAnsi="Calibri" w:eastAsia="宋体" w:cs="Times New Roman"/>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88E5911768F34ED59250E1EB5FB630C7_13</vt:lpwstr>
  </property>
  <property fmtid="{D5CDD505-2E9C-101B-9397-08002B2CF9AE}" pid="4" name="KSOTemplateDocerSaveRecord">
    <vt:lpwstr>eyJoZGlkIjoiNDI0NDJkOGYwMTkzMjYxMzMxMmY2Njg1ZjNkYzk2MzkiLCJ1c2VySWQiOiIzMzAyMjM5MTcifQ==</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4c0c0e-b7cf-4477-9837-98074d2e7631}">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19</Pages>
  <Words>7252</Words>
  <Characters>7557</Characters>
  <Lines>56</Lines>
  <Paragraphs>15</Paragraphs>
  <TotalTime>1</TotalTime>
  <ScaleCrop>false</ScaleCrop>
  <LinksUpToDate>false</LinksUpToDate>
  <CharactersWithSpaces>7559</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2020-05-07T10:25:00Z</dcterms:created>
  <dc:creator>chenliangpingcz</dc:creator>
  <cp:lastModifiedBy>Administrator</cp:lastModifiedBy>
  <dcterms:modified xsi:type="dcterms:W3CDTF">2025-09-19T05:35:59Z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88E5911768F34ED59250E1EB5FB630C7_13</vt:lpwstr>
  </property>
  <property fmtid="{D5CDD505-2E9C-101B-9397-08002B2CF9AE}" pid="4" name="KSOTemplateDocerSaveRecord">
    <vt:lpwstr>eyJoZGlkIjoiNDI0NDJkOGYwMTkzMjYxMzMxMmY2Njg1ZjNkYzk2MzkiLCJ1c2VySWQiOiIzMzAyMjM5MTcifQ_x003D__x003D_</vt:lpwstr>
  </property>
</Properties>
</file>