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阿图什市第五幼儿园2024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val="en-US"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阿图什市第五幼儿园2024年度，实有人数134人，其中：在职人员56人，减少3人；离休人员0人，增加0人；退休人员78人,增加3人。</w:t>
      </w:r>
    </w:p>
    <w:p>
      <w:pPr>
        <w:spacing w:line="580" w:lineRule="exact"/>
        <w:ind w:firstLine="640"/>
        <w:jc w:val="both"/>
      </w:pPr>
      <w:r>
        <w:rPr>
          <w:rFonts w:ascii="仿宋_GB2312" w:hAnsi="仿宋_GB2312" w:eastAsia="仿宋_GB2312"/>
          <w:sz w:val="32"/>
        </w:rPr>
        <w:t>阿图什市第五幼儿园无下属预算单位，下设4个科室，分别是：书记办公室、活动室、综合办公室、财务室。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2024年度收入总计1,171.14万元，</w:t>
      </w:r>
      <w:r>
        <w:rPr>
          <w:rFonts w:ascii="仿宋_GB2312" w:hAnsi="仿宋_GB2312" w:eastAsia="仿宋_GB2312"/>
          <w:b w:val="0"/>
          <w:sz w:val="32"/>
        </w:rPr>
        <w:t>其中：本年收入合计1,120.69万元，使用非财政拨款结余（含专用结余）0.00万元，年初结转和结余50.45万元。</w:t>
      </w:r>
    </w:p>
    <w:p>
      <w:pPr>
        <w:spacing w:line="580" w:lineRule="exact"/>
        <w:ind w:firstLine="640"/>
        <w:jc w:val="both"/>
      </w:pPr>
      <w:r>
        <w:rPr>
          <w:rFonts w:ascii="仿宋_GB2312" w:hAnsi="仿宋_GB2312" w:eastAsia="仿宋_GB2312"/>
          <w:b/>
          <w:sz w:val="32"/>
        </w:rPr>
        <w:t>2024年度支出总计1,171.14万元，</w:t>
      </w:r>
      <w:r>
        <w:rPr>
          <w:rFonts w:ascii="仿宋_GB2312" w:hAnsi="仿宋_GB2312" w:eastAsia="仿宋_GB2312"/>
          <w:b w:val="0"/>
          <w:sz w:val="32"/>
        </w:rPr>
        <w:t>其中：本年支出合计1,129.95万元，结余分配0.00万元，年末结转和结余41.19万元。</w:t>
      </w:r>
    </w:p>
    <w:p>
      <w:pPr>
        <w:spacing w:line="580" w:lineRule="exact"/>
        <w:ind w:firstLine="640"/>
        <w:jc w:val="both"/>
      </w:pPr>
      <w:r>
        <w:rPr>
          <w:rFonts w:ascii="仿宋_GB2312" w:hAnsi="仿宋_GB2312" w:eastAsia="仿宋_GB2312"/>
          <w:b w:val="0"/>
          <w:sz w:val="32"/>
        </w:rPr>
        <w:t>收入支出总体与上年相比，减少73.90万元，下降5.94%，主要原因是：本年在职人员减少，相关人员经费较上年减少。本年减少保安工资项目支出，导致经费支出减少。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本年收入1,120.69万元，</w:t>
      </w:r>
      <w:r>
        <w:rPr>
          <w:rFonts w:ascii="仿宋_GB2312" w:hAnsi="仿宋_GB2312" w:eastAsia="仿宋_GB2312"/>
          <w:b w:val="0"/>
          <w:sz w:val="32"/>
        </w:rPr>
        <w:t>其中：财政拨款收入1,120.50万元，占99.98%；上级补助收入0.00万元，占0.00%；事业收入0.00万元，占0.00%；经营收入0.00万元，占0.00%；附属单位上缴收入0.00万元，占0.00%；其他收入0.18万元，占0.02%。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本年支出1,129.95万元，</w:t>
      </w:r>
      <w:r>
        <w:rPr>
          <w:rFonts w:ascii="仿宋_GB2312" w:hAnsi="仿宋_GB2312" w:eastAsia="仿宋_GB2312"/>
          <w:b w:val="0"/>
          <w:sz w:val="32"/>
        </w:rPr>
        <w:t>其中：基本支出1,083.83万元，占95.92%；项目支出46.13万元，占4.08%；上缴上级支出0.00万元，占0.00%；经营支出0.00万元，占0.00%；对附属单位补助支出0.00万元，占0.00%。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2024年度财政拨款收入总计1,120.50万元，</w:t>
      </w:r>
      <w:r>
        <w:rPr>
          <w:rFonts w:ascii="仿宋_GB2312" w:hAnsi="仿宋_GB2312" w:eastAsia="仿宋_GB2312"/>
          <w:b w:val="0"/>
          <w:sz w:val="32"/>
        </w:rPr>
        <w:t>其中：年初财政拨款结转和结余0.00万元，本年财政拨款收入1,120.50万元。</w:t>
      </w:r>
      <w:r>
        <w:rPr>
          <w:rFonts w:ascii="仿宋_GB2312" w:hAnsi="仿宋_GB2312" w:eastAsia="仿宋_GB2312"/>
          <w:b/>
          <w:sz w:val="32"/>
        </w:rPr>
        <w:t>财政拨款支出总计1,120.50万元，</w:t>
      </w:r>
      <w:r>
        <w:rPr>
          <w:rFonts w:ascii="仿宋_GB2312" w:hAnsi="仿宋_GB2312" w:eastAsia="仿宋_GB2312"/>
          <w:b w:val="0"/>
          <w:sz w:val="32"/>
        </w:rPr>
        <w:t>其中：年末财政拨款结转和结余0.00万元，本年财政拨款支出1,120.50万元。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减少62.13万元，下降5.25%，主要原因是：本年在职人员减少，相关人员经费较上年减少。本年减少保安工资项目支出，导致经费支出减少。</w:t>
      </w:r>
      <w:r>
        <w:rPr>
          <w:rFonts w:ascii="仿宋_GB2312" w:hAnsi="仿宋_GB2312" w:eastAsia="仿宋_GB2312"/>
          <w:b/>
          <w:sz w:val="32"/>
        </w:rPr>
        <w:t>与年初预算相比，</w:t>
      </w:r>
      <w:r>
        <w:rPr>
          <w:rFonts w:ascii="仿宋_GB2312" w:hAnsi="仿宋_GB2312" w:eastAsia="仿宋_GB2312"/>
          <w:b w:val="0"/>
          <w:sz w:val="32"/>
        </w:rPr>
        <w:t>年初预算数1,231.33万元，决算数1,120.50万元，预决算差异率-9.00%，主要原因是：本年在职人员减少，年中调减人员经费，调减保安人员经费，导致预决算存在差异。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2024年度一般公共预算财政拨款支出1,120.50万元，</w:t>
      </w:r>
      <w:r>
        <w:rPr>
          <w:rFonts w:ascii="仿宋_GB2312" w:hAnsi="仿宋_GB2312" w:eastAsia="仿宋_GB2312"/>
          <w:b w:val="0"/>
          <w:sz w:val="32"/>
        </w:rPr>
        <w:t>占本年支出合计的99.16%。</w:t>
      </w:r>
      <w:r>
        <w:rPr>
          <w:rFonts w:ascii="仿宋_GB2312" w:hAnsi="仿宋_GB2312" w:eastAsia="仿宋_GB2312"/>
          <w:b/>
          <w:sz w:val="32"/>
        </w:rPr>
        <w:t>与上年相比，</w:t>
      </w:r>
      <w:r>
        <w:rPr>
          <w:rFonts w:ascii="仿宋_GB2312" w:hAnsi="仿宋_GB2312" w:eastAsia="仿宋_GB2312"/>
          <w:b w:val="0"/>
          <w:sz w:val="32"/>
        </w:rPr>
        <w:t>减少62.13万元，下降5.25%，主要原因是：本年在职人员减少，相关人员经费较上年减少。本年减少保安工资项目支出，导致经费支出减少。</w:t>
      </w:r>
      <w:r>
        <w:rPr>
          <w:rFonts w:ascii="仿宋_GB2312" w:hAnsi="仿宋_GB2312" w:eastAsia="仿宋_GB2312"/>
          <w:b/>
          <w:sz w:val="32"/>
        </w:rPr>
        <w:t>与年初预算相比,</w:t>
      </w:r>
      <w:r>
        <w:rPr>
          <w:rFonts w:ascii="仿宋_GB2312" w:hAnsi="仿宋_GB2312" w:eastAsia="仿宋_GB2312"/>
          <w:b w:val="0"/>
          <w:sz w:val="32"/>
        </w:rPr>
        <w:t>年初预算数1,231.33万元，决算数1,120.50万元，预决算差异率-9.00%，主要原因是：本年在职人员减少，年中调减人员经费，调减保安人员经费，导致预决算存在差异。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1.教育支出(类)1,097.05万元,占97.91%。</w:t>
      </w:r>
    </w:p>
    <w:p>
      <w:pPr>
        <w:spacing w:line="580" w:lineRule="exact"/>
        <w:ind w:firstLine="640"/>
        <w:jc w:val="both"/>
      </w:pPr>
      <w:r>
        <w:rPr>
          <w:rFonts w:ascii="仿宋_GB2312" w:hAnsi="仿宋_GB2312" w:eastAsia="仿宋_GB2312"/>
          <w:b w:val="0"/>
          <w:sz w:val="32"/>
        </w:rPr>
        <w:t>2.社会保障和就业支出(类)23.46万元,占2.09%。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1,060.37万元，比上年决算增加104.10万元，增长10.89%,主要原因是：本年功能科目调整，养老保险缴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2.教育支出(类)教育费附加安排的支出(款)其他教育费附加安排的支出(项):支出决算数为36.68万元，比上年决算增加36.68万元，增长100.00%,主要原因是：本年增加幼儿保教费项目支出，导致此科目经费增加。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97.01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23.46万元，比上年决算减少18.82万元，下降44.51%,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5.社会保障和就业支出(类)抚恤(款)死亡抚恤(项):支出决算数为0.00万元，比上年决算减少5.75万元，下降100.00%,主要原因是：本年无新增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81.33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2024年度一般公共预算财政拨款基本支出1,083.83万元，其中：</w:t>
      </w:r>
      <w:r>
        <w:rPr>
          <w:rFonts w:ascii="仿宋_GB2312" w:hAnsi="仿宋_GB2312" w:eastAsia="仿宋_GB2312"/>
          <w:b/>
          <w:sz w:val="32"/>
        </w:rPr>
        <w:t>人员经费1,074.67万元，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公用经费9.16万元，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2024年度阿图什市第五幼儿园（事业单位）公用经费支出9.16万元，比上年减少26.99万元，下降74.66%，主要原因是：本年减少办公费、印刷费、水费、电费、邮电费，导致公用经费减少。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2024年度政府采购支出总额16.04万元，其中：政府采购货物支出10.88万元、政府采购工程支出4.16万元、政府采购服务支出1.00万元。</w:t>
      </w:r>
    </w:p>
    <w:p>
      <w:pPr>
        <w:spacing w:line="580" w:lineRule="exact"/>
        <w:ind w:firstLine="640"/>
        <w:jc w:val="both"/>
      </w:pPr>
      <w:r>
        <w:rPr>
          <w:rFonts w:ascii="仿宋_GB2312" w:hAnsi="仿宋_GB2312" w:eastAsia="仿宋_GB2312"/>
          <w:b w:val="0"/>
          <w:sz w:val="32"/>
        </w:rPr>
        <w:t>授予中小企业合同金额16.04万元，占政府采购支出总额的100.00%，其中：授予小微企业合同金额16.04万元，占政府采购支出总额的100.00%。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5,186.00平方米，价值529.31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1,171.14万元，实际执行总额1,129.95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阿图什市第五幼儿园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1,231.33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1,129.95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.65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1,231.33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1,171.14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1,129.95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单位基本职能：1.正确贯彻执行党和国家的教育方针、政策、法规。2.维护学校的教学秩序，为学生创造良好的学习环境。3.积极稳妥地推进教育改革，按教育规律办事，不断提 高教育质量。4.根据学校规模，设置学校管理机构，建立健全各项规 章制度和岗位责任制。5.坚持教书育人，服务育人，环境育人方针，加强对学 生思想品德教育，使学生的德智体全面发展。6.抓好教师队伍建设，使每个教师都热心于教育事业。</w:t>
            </w:r>
            <w:r>
              <w:rPr>
                <w:rFonts w:ascii="宋体" w:hAnsi="宋体" w:eastAsia="宋体"/>
                <w:sz w:val="16"/>
              </w:rPr>
              <w:br w:type="textWrapping"/>
            </w:r>
            <w:r>
              <w:rPr>
                <w:rFonts w:ascii="宋体" w:hAnsi="宋体" w:eastAsia="宋体"/>
                <w:sz w:val="16"/>
              </w:rPr>
              <w:t>机构设置及人员配置：无下属预算单位，设4个处室，单位编制数44人，实有人数132人，在职58人，退休75人。中长期规划：提高幼儿园的管理模式和教育质量，壮大师资团队，创建疆内高品质、有特色、创一流的幼儿园。</w:t>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教育工作的全面领导，持续做好学前教育，加大“控辍保学”力度，不断优化教师队伍结构，提高国家通用语言文字授课能力和办学质量，推进城乡义务教育优质均衡发展。不断改善办学条件，促进教学质量提质增效。</w:t>
            </w:r>
            <w:r>
              <w:rPr>
                <w:rFonts w:ascii="宋体" w:hAnsi="宋体" w:eastAsia="宋体"/>
                <w:sz w:val="16"/>
              </w:rPr>
              <w:br w:type="textWrapping"/>
            </w:r>
            <w:r>
              <w:rPr>
                <w:rFonts w:ascii="宋体" w:hAnsi="宋体" w:eastAsia="宋体"/>
                <w:sz w:val="16"/>
              </w:rPr>
              <w:t xml:space="preserve">   保障单位在职58人，退休75人的工资福利及各项补助正常发放及部门正常运转；为在校学生提供良好的住宿及就餐保障。，对我园教师开展培训工作，提高教育教学能力，积极开展校园文化建设，培养学生身心全面发展。</w:t>
            </w:r>
            <w:r>
              <w:rPr>
                <w:rFonts w:ascii="宋体" w:hAnsi="宋体" w:eastAsia="宋体"/>
                <w:sz w:val="16"/>
              </w:rPr>
              <w:br w:type="textWrapping"/>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1,129.95万元，主要用于保障单位在职58人，退休75人的工资福利及各项补助正常发放及部门正常运转，为在校学生提供良好的住宿及就餐保障，对我园教师开展培训工作，提高教育教学能力，积极开展校园文化建设，培养学生身心全面发展；年度任务中完成开展各类安全教育工作32次，保障单位日常运转期限12个月，教师教育学习人数58人，开展安全隐患排查覆盖率达到100%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w:t>
            </w:r>
            <w:bookmarkStart w:id="0" w:name="_GoBack"/>
            <w:bookmarkEnd w:id="0"/>
            <w:r>
              <w:rPr>
                <w:rFonts w:ascii="宋体" w:hAnsi="宋体" w:eastAsia="宋体"/>
                <w:sz w:val="16"/>
              </w:rPr>
              <w:t>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0F378F"/>
    <w:rsid w:val="55DA564E"/>
    <w:rsid w:val="56E07045"/>
    <w:rsid w:val="583059FA"/>
    <w:rsid w:val="587E6212"/>
    <w:rsid w:val="5AFC6609"/>
    <w:rsid w:val="5FA17648"/>
    <w:rsid w:val="5FD320BD"/>
    <w:rsid w:val="60DE4D57"/>
    <w:rsid w:val="613409CB"/>
    <w:rsid w:val="61A46A97"/>
    <w:rsid w:val="620B6223"/>
    <w:rsid w:val="62DD7D21"/>
    <w:rsid w:val="65D97752"/>
    <w:rsid w:val="664C500C"/>
    <w:rsid w:val="67D111AB"/>
    <w:rsid w:val="681F11F2"/>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6018</Words>
  <Characters>6843</Characters>
  <Lines>0</Lines>
  <Paragraphs>0</Paragraphs>
  <TotalTime>7</TotalTime>
  <ScaleCrop>false</ScaleCrop>
  <LinksUpToDate>false</LinksUpToDate>
  <CharactersWithSpaces>6859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2025-09-19T09:15:37Z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