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0719F1">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12629E98">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0D669AE">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0DF51C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6C83D2F">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16F2FFE1">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eastAsia="zh-CN"/>
        </w:rPr>
      </w:pPr>
      <w:r>
        <w:rPr>
          <w:rFonts w:hint="eastAsia" w:ascii="方正小标宋_GBK" w:hAnsi="宋体" w:eastAsia="方正小标宋_GBK"/>
          <w:sz w:val="44"/>
          <w:szCs w:val="44"/>
          <w:highlight w:val="none"/>
          <w:lang w:val="en-US" w:eastAsia="zh-CN"/>
        </w:rPr>
        <w:t>中共阿图什市委员会社会工作部2024</w:t>
      </w:r>
      <w:r>
        <w:rPr>
          <w:rFonts w:hint="eastAsia" w:ascii="方正小标宋_GBK" w:hAnsi="宋体" w:eastAsia="方正小标宋_GBK"/>
          <w:sz w:val="44"/>
          <w:szCs w:val="44"/>
          <w:highlight w:val="none"/>
          <w:lang w:eastAsia="zh-CN"/>
        </w:rPr>
        <w:t>年度</w:t>
      </w:r>
    </w:p>
    <w:p w14:paraId="65EB633A">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部门决算公开说明</w:t>
      </w:r>
    </w:p>
    <w:p w14:paraId="2144AF52">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53CBCE0C">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01C60F">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7370C1B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48195D1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75905CE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7DE1EE5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1A342431">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0AF95AF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3DD45A9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4263BD4D">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7A92F7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0982FA49">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686CF94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20C4E6F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193E376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2EC3F48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423CB22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78456B5">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2123B9B6">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0EA7E086">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AD5F5E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082374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339AB9EC">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2CDDDE5">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697455F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7ACE1E3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260655B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4BD1429E">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38544A67">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677EE30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3FB33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1C06D57F">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1BFDF07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2DAADE1B">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038979D">
      <w:r>
        <w:br w:type="page"/>
      </w:r>
    </w:p>
    <w:p w14:paraId="2343B7A9">
      <w:pPr>
        <w:spacing w:line="640" w:lineRule="exact"/>
        <w:jc w:val="center"/>
        <w:outlineLvl w:val="1"/>
      </w:pPr>
      <w:r>
        <w:rPr>
          <w:rFonts w:ascii="黑体" w:hAnsi="黑体" w:eastAsia="黑体"/>
          <w:sz w:val="32"/>
        </w:rPr>
        <w:t>第一部分 单位概况</w:t>
      </w:r>
    </w:p>
    <w:p w14:paraId="34DB6536">
      <w:pPr>
        <w:spacing w:line="640" w:lineRule="exact"/>
        <w:ind w:firstLine="640"/>
        <w:jc w:val="both"/>
        <w:outlineLvl w:val="2"/>
      </w:pPr>
      <w:r>
        <w:rPr>
          <w:rFonts w:ascii="黑体" w:hAnsi="黑体" w:eastAsia="黑体"/>
          <w:sz w:val="32"/>
        </w:rPr>
        <w:t>一、主要职能</w:t>
      </w:r>
    </w:p>
    <w:p w14:paraId="1C074002">
      <w:pPr>
        <w:spacing w:line="580" w:lineRule="exact"/>
        <w:ind w:firstLine="640"/>
        <w:jc w:val="both"/>
      </w:pPr>
      <w:r>
        <w:rPr>
          <w:rFonts w:ascii="仿宋_GB2312" w:hAnsi="仿宋_GB2312" w:eastAsia="仿宋_GB2312"/>
          <w:sz w:val="32"/>
        </w:rPr>
        <w:t>（1）认真指导人民建议征集工作的职责，全面推进工作法治化，主动听取群众意见建议，更好倾听</w:t>
      </w:r>
      <w:r>
        <w:rPr>
          <w:rFonts w:hint="eastAsia" w:ascii="仿宋_GB2312" w:hAnsi="仿宋_GB2312" w:eastAsia="仿宋_GB2312"/>
          <w:sz w:val="32"/>
          <w:lang w:eastAsia="zh-CN"/>
        </w:rPr>
        <w:t>民声</w:t>
      </w:r>
      <w:r>
        <w:rPr>
          <w:rFonts w:ascii="仿宋_GB2312" w:hAnsi="仿宋_GB2312" w:eastAsia="仿宋_GB2312"/>
          <w:sz w:val="32"/>
        </w:rPr>
        <w:t>、了解民情、集中民智、凝聚民心。</w:t>
      </w:r>
    </w:p>
    <w:p w14:paraId="7631FC65">
      <w:pPr>
        <w:spacing w:line="580" w:lineRule="exact"/>
        <w:ind w:firstLine="640"/>
        <w:jc w:val="both"/>
      </w:pPr>
      <w:r>
        <w:rPr>
          <w:rFonts w:ascii="仿宋_GB2312" w:hAnsi="仿宋_GB2312" w:eastAsia="仿宋_GB2312"/>
          <w:sz w:val="32"/>
        </w:rPr>
        <w:t>（2）坚持大抓基层的鲜明导向，统筹推进基层政权建设，破解小马拉大车突出问题，加强社区工作者队伍建设；坚持党对行业协会商会的全面领导，加强行业协会商会党的工作，充分发挥行业协会商会在服务经济社会发展中的作用。</w:t>
      </w:r>
    </w:p>
    <w:p w14:paraId="1D908350">
      <w:pPr>
        <w:spacing w:line="580" w:lineRule="exact"/>
        <w:ind w:firstLine="640"/>
        <w:jc w:val="both"/>
      </w:pPr>
      <w:r>
        <w:rPr>
          <w:rFonts w:ascii="仿宋_GB2312" w:hAnsi="仿宋_GB2312" w:eastAsia="仿宋_GB2312"/>
          <w:sz w:val="32"/>
        </w:rPr>
        <w:t>（3）扎实推进混合所有制企业、</w:t>
      </w:r>
      <w:r>
        <w:rPr>
          <w:rFonts w:hint="eastAsia" w:ascii="仿宋_GB2312" w:hAnsi="仿宋_GB2312" w:eastAsia="仿宋_GB2312"/>
          <w:sz w:val="32"/>
          <w:lang w:eastAsia="zh-CN"/>
        </w:rPr>
        <w:t>非公有制企业</w:t>
      </w:r>
      <w:r>
        <w:rPr>
          <w:rFonts w:ascii="仿宋_GB2312" w:hAnsi="仿宋_GB2312" w:eastAsia="仿宋_GB2312"/>
          <w:sz w:val="32"/>
        </w:rPr>
        <w:t>和新经济组织、新社会组织、新就业群体党建工作；提升志愿服务工作和社会工作人才队伍建设水平。</w:t>
      </w:r>
    </w:p>
    <w:p w14:paraId="5AAFB134">
      <w:pPr>
        <w:spacing w:line="640" w:lineRule="exact"/>
        <w:ind w:firstLine="640"/>
        <w:jc w:val="both"/>
        <w:outlineLvl w:val="2"/>
      </w:pPr>
      <w:r>
        <w:rPr>
          <w:rFonts w:ascii="黑体" w:hAnsi="黑体" w:eastAsia="黑体"/>
          <w:sz w:val="32"/>
        </w:rPr>
        <w:t>二、机构设置及人员情况</w:t>
      </w:r>
    </w:p>
    <w:p w14:paraId="41C86D34">
      <w:pPr>
        <w:spacing w:line="580" w:lineRule="exact"/>
        <w:ind w:firstLine="640"/>
        <w:jc w:val="both"/>
      </w:pPr>
      <w:r>
        <w:rPr>
          <w:rFonts w:ascii="仿宋_GB2312" w:hAnsi="仿宋_GB2312" w:eastAsia="仿宋_GB2312"/>
          <w:sz w:val="32"/>
        </w:rPr>
        <w:t>中共阿图什市委员会社会工作部2024年度，实有人数5人，其中：在职人员5人，增加5人；离休人员0人，增加0人；退休人员0人,增加0人。</w:t>
      </w:r>
    </w:p>
    <w:p w14:paraId="44B6FAF0">
      <w:pPr>
        <w:spacing w:line="580" w:lineRule="exact"/>
        <w:ind w:firstLine="640"/>
        <w:jc w:val="both"/>
      </w:pPr>
      <w:r>
        <w:rPr>
          <w:rFonts w:ascii="仿宋_GB2312" w:hAnsi="仿宋_GB2312" w:eastAsia="仿宋_GB2312"/>
          <w:sz w:val="32"/>
        </w:rPr>
        <w:t>中共阿图什市委员会社会工作部无下属预算单位，下设4个科室，分别是：办公室、党建室、“两企三新”党建室、社会服务和</w:t>
      </w:r>
      <w:r>
        <w:rPr>
          <w:rFonts w:hint="eastAsia" w:ascii="仿宋_GB2312" w:hAnsi="仿宋_GB2312" w:eastAsia="仿宋_GB2312"/>
          <w:sz w:val="32"/>
          <w:lang w:eastAsia="zh-CN"/>
        </w:rPr>
        <w:t>志愿</w:t>
      </w:r>
      <w:r>
        <w:rPr>
          <w:rFonts w:ascii="仿宋_GB2312" w:hAnsi="仿宋_GB2312" w:eastAsia="仿宋_GB2312"/>
          <w:sz w:val="32"/>
        </w:rPr>
        <w:t>服务室。</w:t>
      </w:r>
    </w:p>
    <w:p w14:paraId="04B510AA">
      <w:r>
        <w:br w:type="page"/>
      </w:r>
    </w:p>
    <w:p w14:paraId="1E1446C5">
      <w:pPr>
        <w:spacing w:line="240" w:lineRule="auto"/>
        <w:jc w:val="center"/>
        <w:outlineLvl w:val="1"/>
      </w:pPr>
      <w:r>
        <w:rPr>
          <w:rFonts w:ascii="黑体" w:hAnsi="黑体" w:eastAsia="黑体"/>
          <w:sz w:val="32"/>
        </w:rPr>
        <w:t>第二部分 部门决算情况说明</w:t>
      </w:r>
    </w:p>
    <w:p w14:paraId="06A58399">
      <w:pPr>
        <w:spacing w:line="640" w:lineRule="exact"/>
        <w:ind w:firstLine="640"/>
        <w:jc w:val="both"/>
        <w:outlineLvl w:val="2"/>
      </w:pPr>
      <w:r>
        <w:rPr>
          <w:rFonts w:ascii="黑体" w:hAnsi="黑体" w:eastAsia="黑体"/>
          <w:sz w:val="32"/>
        </w:rPr>
        <w:t>一、收入支出决算总体情况说明</w:t>
      </w:r>
    </w:p>
    <w:p w14:paraId="4DBD9E33">
      <w:pPr>
        <w:spacing w:line="580" w:lineRule="exact"/>
        <w:ind w:firstLine="640"/>
        <w:jc w:val="both"/>
      </w:pPr>
      <w:r>
        <w:rPr>
          <w:rFonts w:ascii="仿宋_GB2312" w:hAnsi="仿宋_GB2312" w:eastAsia="仿宋_GB2312"/>
          <w:b/>
          <w:sz w:val="32"/>
        </w:rPr>
        <w:t>2024年度收入总计26.16万元，</w:t>
      </w:r>
      <w:r>
        <w:rPr>
          <w:rFonts w:ascii="仿宋_GB2312" w:hAnsi="仿宋_GB2312" w:eastAsia="仿宋_GB2312"/>
          <w:b w:val="0"/>
          <w:sz w:val="32"/>
        </w:rPr>
        <w:t>其中：本年收入合计26.16万元，使用非财政拨款结余（含专用结余）0.00万元，年初结转和结余0.00万元。</w:t>
      </w:r>
    </w:p>
    <w:p w14:paraId="74404610">
      <w:pPr>
        <w:spacing w:line="580" w:lineRule="exact"/>
        <w:ind w:firstLine="640"/>
        <w:jc w:val="both"/>
      </w:pPr>
      <w:r>
        <w:rPr>
          <w:rFonts w:ascii="仿宋_GB2312" w:hAnsi="仿宋_GB2312" w:eastAsia="仿宋_GB2312"/>
          <w:b/>
          <w:sz w:val="32"/>
        </w:rPr>
        <w:t>2024年度支出总计26.16万元，</w:t>
      </w:r>
      <w:r>
        <w:rPr>
          <w:rFonts w:ascii="仿宋_GB2312" w:hAnsi="仿宋_GB2312" w:eastAsia="仿宋_GB2312"/>
          <w:b w:val="0"/>
          <w:sz w:val="32"/>
        </w:rPr>
        <w:t>其中：本年支出合计26.16万元，结余分配0.00万元，年末结转和结余0.00万元。</w:t>
      </w:r>
    </w:p>
    <w:p w14:paraId="15E33A0F">
      <w:pPr>
        <w:spacing w:line="580" w:lineRule="exact"/>
        <w:ind w:firstLine="640"/>
        <w:jc w:val="both"/>
      </w:pPr>
      <w:r>
        <w:rPr>
          <w:rFonts w:ascii="仿宋_GB2312" w:hAnsi="仿宋_GB2312" w:eastAsia="仿宋_GB2312"/>
          <w:b w:val="0"/>
          <w:sz w:val="32"/>
        </w:rPr>
        <w:t>收入支出总体与上年相比，增加26.16万元，增长100.00%，主要原因是：本单位为今年新成立单位，无上年对比数据。</w:t>
      </w:r>
    </w:p>
    <w:p w14:paraId="0267A577">
      <w:pPr>
        <w:spacing w:line="640" w:lineRule="exact"/>
        <w:ind w:firstLine="640"/>
        <w:jc w:val="both"/>
        <w:outlineLvl w:val="2"/>
      </w:pPr>
      <w:r>
        <w:rPr>
          <w:rFonts w:ascii="黑体" w:hAnsi="黑体" w:eastAsia="黑体"/>
          <w:sz w:val="32"/>
        </w:rPr>
        <w:t>二、收入决算情况说明</w:t>
      </w:r>
    </w:p>
    <w:p w14:paraId="4806DBA8">
      <w:pPr>
        <w:spacing w:line="580" w:lineRule="exact"/>
        <w:ind w:firstLine="640"/>
        <w:jc w:val="both"/>
      </w:pPr>
      <w:r>
        <w:rPr>
          <w:rFonts w:ascii="仿宋_GB2312" w:hAnsi="仿宋_GB2312" w:eastAsia="仿宋_GB2312"/>
          <w:b/>
          <w:sz w:val="32"/>
        </w:rPr>
        <w:t>本年收入26.16万元，</w:t>
      </w:r>
      <w:r>
        <w:rPr>
          <w:rFonts w:ascii="仿宋_GB2312" w:hAnsi="仿宋_GB2312" w:eastAsia="仿宋_GB2312"/>
          <w:b w:val="0"/>
          <w:sz w:val="32"/>
        </w:rPr>
        <w:t>其中：财政拨款收入26.16万元，占100.00%；上级补助收入0.00万元，占0.00%；事业收入0.00万元，占0.00%；经营收入0.00万元，占0.00%；附属单位上缴收入0.00万元，占0.00%；其他收入0.00万元，占0.00%。</w:t>
      </w:r>
    </w:p>
    <w:p w14:paraId="61299201">
      <w:pPr>
        <w:spacing w:line="640" w:lineRule="exact"/>
        <w:ind w:firstLine="640"/>
        <w:jc w:val="both"/>
        <w:outlineLvl w:val="2"/>
      </w:pPr>
      <w:r>
        <w:rPr>
          <w:rFonts w:ascii="黑体" w:hAnsi="黑体" w:eastAsia="黑体"/>
          <w:sz w:val="32"/>
        </w:rPr>
        <w:t>三、支出决算情况说明</w:t>
      </w:r>
    </w:p>
    <w:p w14:paraId="72789DEC">
      <w:pPr>
        <w:spacing w:line="580" w:lineRule="exact"/>
        <w:ind w:firstLine="640"/>
        <w:jc w:val="both"/>
      </w:pPr>
      <w:r>
        <w:rPr>
          <w:rFonts w:ascii="仿宋_GB2312" w:hAnsi="仿宋_GB2312" w:eastAsia="仿宋_GB2312"/>
          <w:b/>
          <w:sz w:val="32"/>
        </w:rPr>
        <w:t>本年支出26.16万元，</w:t>
      </w:r>
      <w:r>
        <w:rPr>
          <w:rFonts w:ascii="仿宋_GB2312" w:hAnsi="仿宋_GB2312" w:eastAsia="仿宋_GB2312"/>
          <w:b w:val="0"/>
          <w:sz w:val="32"/>
        </w:rPr>
        <w:t>其中：基本支出20.77万元，占79.40%；项目支出5.39万元，占20.60%；上缴上级支出0.00万元，占0.00%；经营支出0.00万元，占0.00%；对附属单位补助支出0.00万元，占0.00%。</w:t>
      </w:r>
    </w:p>
    <w:p w14:paraId="78B28385">
      <w:pPr>
        <w:spacing w:line="640" w:lineRule="exact"/>
        <w:ind w:firstLine="640"/>
        <w:jc w:val="both"/>
        <w:outlineLvl w:val="2"/>
      </w:pPr>
      <w:r>
        <w:rPr>
          <w:rFonts w:ascii="黑体" w:hAnsi="黑体" w:eastAsia="黑体"/>
          <w:sz w:val="32"/>
        </w:rPr>
        <w:t>四、财政拨款收入支出决算总体情况说明</w:t>
      </w:r>
    </w:p>
    <w:p w14:paraId="7F305ED5">
      <w:pPr>
        <w:spacing w:line="580" w:lineRule="exact"/>
        <w:ind w:firstLine="640"/>
        <w:jc w:val="both"/>
      </w:pPr>
      <w:r>
        <w:rPr>
          <w:rFonts w:ascii="仿宋_GB2312" w:hAnsi="仿宋_GB2312" w:eastAsia="仿宋_GB2312"/>
          <w:b/>
          <w:sz w:val="32"/>
        </w:rPr>
        <w:t>2024年度财政拨款收入总计26.16万元，</w:t>
      </w:r>
      <w:r>
        <w:rPr>
          <w:rFonts w:ascii="仿宋_GB2312" w:hAnsi="仿宋_GB2312" w:eastAsia="仿宋_GB2312"/>
          <w:b w:val="0"/>
          <w:sz w:val="32"/>
        </w:rPr>
        <w:t>其中：年初财政拨款结转和结余0.00万元，本年财政拨款收入26.16万元。</w:t>
      </w:r>
      <w:r>
        <w:rPr>
          <w:rFonts w:ascii="仿宋_GB2312" w:hAnsi="仿宋_GB2312" w:eastAsia="仿宋_GB2312"/>
          <w:b/>
          <w:sz w:val="32"/>
        </w:rPr>
        <w:t>财政拨款支出总计26.16万元，</w:t>
      </w:r>
      <w:r>
        <w:rPr>
          <w:rFonts w:ascii="仿宋_GB2312" w:hAnsi="仿宋_GB2312" w:eastAsia="仿宋_GB2312"/>
          <w:b w:val="0"/>
          <w:sz w:val="32"/>
        </w:rPr>
        <w:t>其中：年末财政拨款结转和结余0.00万元，本年财政拨款支出26.16万元。</w:t>
      </w:r>
    </w:p>
    <w:p w14:paraId="52F996F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增加26.16万元，增长100.00%，主要原因是：本单位为今年新成立单位，无上年对比数据。</w:t>
      </w:r>
      <w:r>
        <w:rPr>
          <w:rFonts w:ascii="仿宋_GB2312" w:hAnsi="仿宋_GB2312" w:eastAsia="仿宋_GB2312"/>
          <w:b/>
          <w:sz w:val="32"/>
        </w:rPr>
        <w:t>与年初预算相比，</w:t>
      </w:r>
      <w:r>
        <w:rPr>
          <w:rFonts w:ascii="仿宋_GB2312" w:hAnsi="仿宋_GB2312" w:eastAsia="仿宋_GB2312"/>
          <w:b w:val="0"/>
          <w:sz w:val="32"/>
        </w:rPr>
        <w:t>年初预算数0.00万元，决算数26.16万元，预决算差异率100.00%，主要原因是：本年本单位新成立，年中追加人员工资、社保、公积金，导致预决算存在差异。</w:t>
      </w:r>
    </w:p>
    <w:p w14:paraId="0BB366CF">
      <w:pPr>
        <w:spacing w:line="640" w:lineRule="exact"/>
        <w:ind w:firstLine="640"/>
        <w:jc w:val="both"/>
        <w:outlineLvl w:val="2"/>
      </w:pPr>
      <w:r>
        <w:rPr>
          <w:rFonts w:ascii="黑体" w:hAnsi="黑体" w:eastAsia="黑体"/>
          <w:sz w:val="32"/>
        </w:rPr>
        <w:t>五、一般公共预算财政拨款支出决算情况说明</w:t>
      </w:r>
    </w:p>
    <w:p w14:paraId="6F628E9B">
      <w:pPr>
        <w:spacing w:line="640" w:lineRule="exact"/>
        <w:ind w:firstLine="640"/>
        <w:jc w:val="both"/>
        <w:outlineLvl w:val="3"/>
      </w:pPr>
      <w:r>
        <w:rPr>
          <w:rFonts w:ascii="楷体_GB2312" w:hAnsi="楷体_GB2312" w:eastAsia="楷体_GB2312"/>
          <w:b/>
          <w:sz w:val="32"/>
        </w:rPr>
        <w:t>（一）一般公共预算财政拨款支出决算总体情况</w:t>
      </w:r>
    </w:p>
    <w:p w14:paraId="76AB3C4D">
      <w:pPr>
        <w:spacing w:line="580" w:lineRule="exact"/>
        <w:ind w:firstLine="640"/>
        <w:jc w:val="both"/>
      </w:pPr>
      <w:r>
        <w:rPr>
          <w:rFonts w:ascii="仿宋_GB2312" w:hAnsi="仿宋_GB2312" w:eastAsia="仿宋_GB2312"/>
          <w:b/>
          <w:sz w:val="32"/>
        </w:rPr>
        <w:t>2024年度一般公共预算财政拨款支出26.16万元，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增加26.16万元，增长100.00%，主要原因是：本单位为新成立单位，无上年对比数据。</w:t>
      </w:r>
      <w:r>
        <w:rPr>
          <w:rFonts w:ascii="仿宋_GB2312" w:hAnsi="仿宋_GB2312" w:eastAsia="仿宋_GB2312"/>
          <w:b/>
          <w:sz w:val="32"/>
        </w:rPr>
        <w:t>与年初预算相比,</w:t>
      </w:r>
      <w:r>
        <w:rPr>
          <w:rFonts w:ascii="仿宋_GB2312" w:hAnsi="仿宋_GB2312" w:eastAsia="仿宋_GB2312"/>
          <w:b w:val="0"/>
          <w:sz w:val="32"/>
        </w:rPr>
        <w:t>年初预算数0.00万元，决算数26.16万元，预决算差异率100.00%，主要原因是：本年本单位新成立，年中追加人员工资、社保、公积金，导致预决算存在差异。</w:t>
      </w:r>
    </w:p>
    <w:p w14:paraId="14AA3884">
      <w:pPr>
        <w:spacing w:line="640" w:lineRule="exact"/>
        <w:ind w:firstLine="640"/>
        <w:jc w:val="both"/>
        <w:outlineLvl w:val="3"/>
      </w:pPr>
      <w:r>
        <w:rPr>
          <w:rFonts w:ascii="楷体_GB2312" w:hAnsi="楷体_GB2312" w:eastAsia="楷体_GB2312"/>
          <w:b/>
          <w:sz w:val="32"/>
        </w:rPr>
        <w:t>（二）一般公共预算财政拨款支出决算结构情况</w:t>
      </w:r>
    </w:p>
    <w:p w14:paraId="6020FD1B">
      <w:pPr>
        <w:spacing w:line="580" w:lineRule="exact"/>
        <w:ind w:firstLine="640"/>
        <w:jc w:val="both"/>
      </w:pPr>
      <w:r>
        <w:rPr>
          <w:rFonts w:ascii="仿宋_GB2312" w:hAnsi="仿宋_GB2312" w:eastAsia="仿宋_GB2312"/>
          <w:b w:val="0"/>
          <w:sz w:val="32"/>
        </w:rPr>
        <w:t>1.一般公共服务支出(类)26.16万元,占100.00%。</w:t>
      </w:r>
    </w:p>
    <w:p w14:paraId="7580DB25">
      <w:pPr>
        <w:spacing w:line="640" w:lineRule="exact"/>
        <w:ind w:firstLine="640"/>
        <w:jc w:val="both"/>
        <w:outlineLvl w:val="3"/>
      </w:pPr>
      <w:r>
        <w:rPr>
          <w:rFonts w:ascii="楷体_GB2312" w:hAnsi="楷体_GB2312" w:eastAsia="楷体_GB2312"/>
          <w:b/>
          <w:sz w:val="32"/>
        </w:rPr>
        <w:t>（三）一般公共预算财政拨款支出决算具体情况</w:t>
      </w:r>
    </w:p>
    <w:p w14:paraId="39972010">
      <w:pPr>
        <w:spacing w:line="580" w:lineRule="exact"/>
        <w:ind w:firstLine="640"/>
        <w:jc w:val="both"/>
      </w:pPr>
      <w:r>
        <w:rPr>
          <w:rFonts w:ascii="仿宋_GB2312" w:hAnsi="仿宋_GB2312" w:eastAsia="仿宋_GB2312"/>
          <w:b w:val="0"/>
          <w:sz w:val="32"/>
        </w:rPr>
        <w:t>1.一般公共服务支出(类)社会工作事务(款)行政运行(项):支出决算数为20.77万元，比上年决算增加20.77万元，增长100.00%,主要原因是：本单位为今年新成立单位，无上年对比数据。</w:t>
      </w:r>
    </w:p>
    <w:p w14:paraId="65EA4FC9">
      <w:pPr>
        <w:spacing w:line="580" w:lineRule="exact"/>
        <w:ind w:firstLine="640"/>
        <w:jc w:val="both"/>
      </w:pPr>
      <w:r>
        <w:rPr>
          <w:rFonts w:ascii="仿宋_GB2312" w:hAnsi="仿宋_GB2312" w:eastAsia="仿宋_GB2312"/>
          <w:b w:val="0"/>
          <w:sz w:val="32"/>
        </w:rPr>
        <w:t>2.一般公共服务支出(类)社会工作事务(款)其他社会工作事务支出(项):支出决算数为5.39万元，比上年决算增加5.39万元，增长100.00%,主要原因是：本单位为今年新成立单位，无上年对比数据。</w:t>
      </w:r>
    </w:p>
    <w:p w14:paraId="6333B0A9">
      <w:pPr>
        <w:spacing w:line="640" w:lineRule="exact"/>
        <w:ind w:firstLine="640"/>
        <w:jc w:val="both"/>
        <w:outlineLvl w:val="2"/>
      </w:pPr>
      <w:r>
        <w:rPr>
          <w:rFonts w:ascii="黑体" w:hAnsi="黑体" w:eastAsia="黑体"/>
          <w:sz w:val="32"/>
        </w:rPr>
        <w:t>六、一般公共预算财政拨款基本支出决算情况说明</w:t>
      </w:r>
    </w:p>
    <w:p w14:paraId="0F8556B4">
      <w:pPr>
        <w:spacing w:line="580" w:lineRule="exact"/>
        <w:ind w:firstLine="640"/>
        <w:jc w:val="both"/>
      </w:pPr>
      <w:r>
        <w:rPr>
          <w:rFonts w:ascii="仿宋_GB2312" w:hAnsi="仿宋_GB2312" w:eastAsia="仿宋_GB2312"/>
          <w:b w:val="0"/>
          <w:sz w:val="32"/>
        </w:rPr>
        <w:t>2024年度一般公共预算财政拨款基本支出20.77万元，其中：</w:t>
      </w:r>
      <w:r>
        <w:rPr>
          <w:rFonts w:ascii="仿宋_GB2312" w:hAnsi="仿宋_GB2312" w:eastAsia="仿宋_GB2312"/>
          <w:b/>
          <w:sz w:val="32"/>
        </w:rPr>
        <w:t>人员经费20.15万元，</w:t>
      </w:r>
      <w:r>
        <w:rPr>
          <w:rFonts w:ascii="仿宋_GB2312" w:hAnsi="仿宋_GB2312" w:eastAsia="仿宋_GB2312"/>
          <w:b w:val="0"/>
          <w:sz w:val="32"/>
        </w:rPr>
        <w:t>包括：基本工资、津贴补贴、奖金、机关事业单位基本养老保险缴费、职工基本医疗保险缴费、其他社会保障缴费、住房公积金。</w:t>
      </w:r>
    </w:p>
    <w:p w14:paraId="4153604C">
      <w:pPr>
        <w:spacing w:line="580" w:lineRule="exact"/>
        <w:ind w:firstLine="640"/>
        <w:jc w:val="both"/>
      </w:pPr>
      <w:r>
        <w:rPr>
          <w:rFonts w:ascii="仿宋_GB2312" w:hAnsi="仿宋_GB2312" w:eastAsia="仿宋_GB2312"/>
          <w:b/>
          <w:sz w:val="32"/>
        </w:rPr>
        <w:t>公用经费0.62万元，</w:t>
      </w:r>
      <w:r>
        <w:rPr>
          <w:rFonts w:ascii="仿宋_GB2312" w:hAnsi="仿宋_GB2312" w:eastAsia="仿宋_GB2312"/>
          <w:b w:val="0"/>
          <w:sz w:val="32"/>
        </w:rPr>
        <w:t>包括：取暖费。</w:t>
      </w:r>
    </w:p>
    <w:p w14:paraId="70D127C9">
      <w:pPr>
        <w:spacing w:line="640" w:lineRule="exact"/>
        <w:ind w:firstLine="640"/>
        <w:jc w:val="both"/>
        <w:outlineLvl w:val="2"/>
      </w:pPr>
      <w:r>
        <w:rPr>
          <w:rFonts w:ascii="黑体" w:hAnsi="黑体" w:eastAsia="黑体"/>
          <w:sz w:val="32"/>
        </w:rPr>
        <w:t>七、政府性基金预算财政拨款收入支出决算情况说明</w:t>
      </w:r>
    </w:p>
    <w:p w14:paraId="7C4AC11F">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D8CFEC3">
      <w:pPr>
        <w:spacing w:line="640" w:lineRule="exact"/>
        <w:ind w:firstLine="640"/>
        <w:jc w:val="both"/>
        <w:outlineLvl w:val="2"/>
      </w:pPr>
      <w:r>
        <w:rPr>
          <w:rFonts w:ascii="黑体" w:hAnsi="黑体" w:eastAsia="黑体"/>
          <w:sz w:val="32"/>
        </w:rPr>
        <w:t>八、国有资本经营预算财政拨款收入支出决算情况说明</w:t>
      </w:r>
    </w:p>
    <w:p w14:paraId="13001FB3">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078FD9F">
      <w:pPr>
        <w:spacing w:line="640" w:lineRule="exact"/>
        <w:ind w:firstLine="640"/>
        <w:jc w:val="both"/>
        <w:outlineLvl w:val="2"/>
      </w:pPr>
      <w:r>
        <w:rPr>
          <w:rFonts w:ascii="黑体" w:hAnsi="黑体" w:eastAsia="黑体"/>
          <w:sz w:val="32"/>
        </w:rPr>
        <w:t>九、财政拨款“三公”经费支出决算情况说明</w:t>
      </w:r>
    </w:p>
    <w:p w14:paraId="21B0B620">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2024年未安排财政拨款“三公”经费支出。其中：因公出国（境）费支出0.00万元，占0.00%，比上年增加0.00万元，增长0.00%，主要原因是：2024年未安排因公出国（境）费支出。公务用车购置及运行维护费支出0.00万元，占0.00%，比上年增加0.00万元，增长0.00%，主要原因是：2024年未安排公务用车购置及运行维护费支出。公务接待费支出0.00万元，占0.00%，比上年增加0.00万元，增长0.00%，主要原因是：2024年未安排公务接待费支出。</w:t>
      </w:r>
    </w:p>
    <w:p w14:paraId="1354C3F2">
      <w:pPr>
        <w:spacing w:line="580" w:lineRule="exact"/>
        <w:ind w:firstLine="640"/>
        <w:jc w:val="both"/>
      </w:pPr>
      <w:r>
        <w:rPr>
          <w:rFonts w:ascii="仿宋_GB2312" w:hAnsi="仿宋_GB2312" w:eastAsia="仿宋_GB2312"/>
          <w:b/>
          <w:sz w:val="32"/>
        </w:rPr>
        <w:t>具体情况如下：</w:t>
      </w:r>
    </w:p>
    <w:p w14:paraId="096D97DC">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44F5D80">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2972C3B4">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43C1134">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6398EFE4">
      <w:pPr>
        <w:spacing w:line="640" w:lineRule="exact"/>
        <w:ind w:firstLine="640"/>
        <w:jc w:val="both"/>
        <w:outlineLvl w:val="2"/>
      </w:pPr>
      <w:r>
        <w:rPr>
          <w:rFonts w:ascii="黑体" w:hAnsi="黑体" w:eastAsia="黑体"/>
          <w:sz w:val="32"/>
        </w:rPr>
        <w:t>十、其他重要事项的情况说明</w:t>
      </w:r>
    </w:p>
    <w:p w14:paraId="5E6C805D">
      <w:pPr>
        <w:spacing w:line="640" w:lineRule="exact"/>
        <w:ind w:firstLine="640"/>
        <w:jc w:val="both"/>
        <w:outlineLvl w:val="3"/>
      </w:pPr>
      <w:r>
        <w:rPr>
          <w:rFonts w:ascii="楷体_GB2312" w:hAnsi="楷体_GB2312" w:eastAsia="楷体_GB2312"/>
          <w:b/>
          <w:sz w:val="32"/>
        </w:rPr>
        <w:t>（一）机关运行经费及公用经费支出情况</w:t>
      </w:r>
    </w:p>
    <w:p w14:paraId="2279D05A">
      <w:pPr>
        <w:spacing w:line="580" w:lineRule="exact"/>
        <w:ind w:firstLine="640"/>
        <w:jc w:val="both"/>
      </w:pPr>
      <w:r>
        <w:rPr>
          <w:rFonts w:ascii="仿宋_GB2312" w:hAnsi="仿宋_GB2312" w:eastAsia="仿宋_GB2312"/>
          <w:b w:val="0"/>
          <w:sz w:val="32"/>
        </w:rPr>
        <w:t>2024年度中共阿图什市委员会社会工作部（行政单位和参照公务员法管理事业单位）机关运行经费支出0.62万元，比上年增加0.62万元，增长100.00%，主要原因是：本单位为今年新成立单位，无上年对比数据。</w:t>
      </w:r>
    </w:p>
    <w:p w14:paraId="73F3BFD2">
      <w:pPr>
        <w:spacing w:line="640" w:lineRule="exact"/>
        <w:ind w:firstLine="640"/>
        <w:jc w:val="both"/>
        <w:outlineLvl w:val="3"/>
      </w:pPr>
      <w:r>
        <w:rPr>
          <w:rFonts w:ascii="楷体_GB2312" w:hAnsi="楷体_GB2312" w:eastAsia="楷体_GB2312"/>
          <w:b/>
          <w:sz w:val="32"/>
        </w:rPr>
        <w:t>（二）政府采购情况</w:t>
      </w:r>
    </w:p>
    <w:p w14:paraId="003FA4A8">
      <w:pPr>
        <w:spacing w:line="580" w:lineRule="exact"/>
        <w:ind w:firstLine="640"/>
        <w:jc w:val="both"/>
      </w:pPr>
      <w:r>
        <w:rPr>
          <w:rFonts w:ascii="仿宋_GB2312" w:hAnsi="仿宋_GB2312" w:eastAsia="仿宋_GB2312"/>
          <w:b w:val="0"/>
          <w:sz w:val="32"/>
        </w:rPr>
        <w:t>2024年度政府采购支出总额3.11万元，其中：政府采购货物支出0.56万元、政府采购工程支出0.00万元、政府采购服务支出2.55万元。</w:t>
      </w:r>
    </w:p>
    <w:p w14:paraId="0F6D5F20">
      <w:pPr>
        <w:spacing w:line="580" w:lineRule="exact"/>
        <w:ind w:firstLine="640"/>
        <w:jc w:val="both"/>
      </w:pPr>
      <w:r>
        <w:rPr>
          <w:rFonts w:ascii="仿宋_GB2312" w:hAnsi="仿宋_GB2312" w:eastAsia="仿宋_GB2312"/>
          <w:b w:val="0"/>
          <w:sz w:val="32"/>
        </w:rPr>
        <w:t>授予中小企业合同金额3.11万元，占政府采购支出总额的100.00%，其中：授予小微企业合同金额3.11万元，占政府采购支出总额的100.00%。</w:t>
      </w:r>
    </w:p>
    <w:p w14:paraId="7977F42D">
      <w:pPr>
        <w:spacing w:line="640" w:lineRule="exact"/>
        <w:ind w:firstLine="640"/>
        <w:jc w:val="both"/>
        <w:outlineLvl w:val="3"/>
      </w:pPr>
      <w:r>
        <w:rPr>
          <w:rFonts w:ascii="楷体_GB2312" w:hAnsi="楷体_GB2312" w:eastAsia="楷体_GB2312"/>
          <w:b/>
          <w:sz w:val="32"/>
        </w:rPr>
        <w:t>（三）国有资产占用情况说明</w:t>
      </w:r>
    </w:p>
    <w:p w14:paraId="5217412E">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0CCBCCC8">
      <w:pPr>
        <w:spacing w:line="640" w:lineRule="exact"/>
        <w:ind w:firstLine="640"/>
        <w:jc w:val="both"/>
        <w:outlineLvl w:val="2"/>
      </w:pPr>
      <w:r>
        <w:rPr>
          <w:rFonts w:ascii="黑体" w:hAnsi="黑体" w:eastAsia="黑体"/>
          <w:sz w:val="32"/>
        </w:rPr>
        <w:t>十一、预算绩效的情况说明</w:t>
      </w:r>
    </w:p>
    <w:p w14:paraId="49CA7E88">
      <w:pPr>
        <w:spacing w:line="580" w:lineRule="exact"/>
        <w:ind w:firstLine="640"/>
        <w:jc w:val="both"/>
      </w:pPr>
      <w:r>
        <w:rPr>
          <w:rFonts w:ascii="仿宋_GB2312" w:hAnsi="仿宋_GB2312" w:eastAsia="仿宋_GB2312"/>
          <w:b w:val="0"/>
          <w:sz w:val="32"/>
        </w:rPr>
        <w:t>根据预算绩效管理要求，本单位2024年度预算绩效管理形成预算绩效评价项目0个，全年预算数0.00万元，全年执行数0.00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理解和认识。发现的问题及原因：一是财政绩效管理有待提高。相关绩效管理方面专业知识的系统性学习有待加强。二是对预算绩效管理、绩效理念尚未真正贯穿于实践工作，相关工作人员经验不足，绩效管理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w:t>
      </w:r>
    </w:p>
    <w:p w14:paraId="2557D230">
      <w:r>
        <w:br w:type="page"/>
      </w:r>
    </w:p>
    <w:p w14:paraId="5EA1F644">
      <w:pPr>
        <w:spacing w:line="640" w:lineRule="exact"/>
        <w:ind w:firstLine="640"/>
        <w:jc w:val="both"/>
        <w:outlineLvl w:val="2"/>
      </w:pPr>
      <w:r>
        <w:rPr>
          <w:rFonts w:ascii="黑体" w:hAnsi="黑体" w:eastAsia="黑体"/>
          <w:sz w:val="32"/>
        </w:rPr>
        <w:t>十二、其他需说明的事项</w:t>
      </w:r>
    </w:p>
    <w:p w14:paraId="535881E8">
      <w:pPr>
        <w:spacing w:line="580" w:lineRule="exact"/>
        <w:ind w:firstLine="640"/>
        <w:jc w:val="both"/>
      </w:pPr>
      <w:r>
        <w:rPr>
          <w:rFonts w:hint="eastAsia" w:ascii="仿宋_GB2312" w:hAnsi="仿宋_GB2312" w:eastAsia="仿宋_GB2312"/>
          <w:b w:val="0"/>
          <w:sz w:val="32"/>
        </w:rPr>
        <w:t>因2024年机构改革</w:t>
      </w:r>
      <w:r>
        <w:rPr>
          <w:rFonts w:hint="eastAsia" w:ascii="仿宋_GB2312" w:hAnsi="仿宋_GB2312" w:eastAsia="仿宋_GB2312"/>
          <w:b w:val="0"/>
          <w:sz w:val="32"/>
          <w:lang w:eastAsia="zh-CN"/>
        </w:rPr>
        <w:t>，中</w:t>
      </w:r>
      <w:r>
        <w:rPr>
          <w:rFonts w:hint="eastAsia" w:ascii="仿宋_GB2312" w:hAnsi="仿宋_GB2312" w:eastAsia="仿宋_GB2312"/>
          <w:b w:val="0"/>
          <w:sz w:val="32"/>
        </w:rPr>
        <w:t>共阿图什市委员会社会工作部年中从阿图什市人民政府办公室分离出来独立核算，因此本单位无整体支出绩效自评表</w:t>
      </w:r>
      <w:r>
        <w:rPr>
          <w:rFonts w:ascii="仿宋_GB2312" w:hAnsi="仿宋_GB2312" w:eastAsia="仿宋_GB2312"/>
          <w:b w:val="0"/>
          <w:sz w:val="32"/>
        </w:rPr>
        <w:t>。</w:t>
      </w:r>
      <w:bookmarkStart w:id="0" w:name="_GoBack"/>
      <w:bookmarkEnd w:id="0"/>
    </w:p>
    <w:p w14:paraId="5D6A1657">
      <w:r>
        <w:br w:type="page"/>
      </w:r>
    </w:p>
    <w:p w14:paraId="728D5D4F">
      <w:pPr>
        <w:spacing w:line="240" w:lineRule="auto"/>
        <w:jc w:val="center"/>
        <w:outlineLvl w:val="1"/>
      </w:pPr>
      <w:r>
        <w:rPr>
          <w:rFonts w:ascii="黑体" w:hAnsi="黑体" w:eastAsia="黑体"/>
          <w:sz w:val="32"/>
        </w:rPr>
        <w:t>第三部分 专业名词解释</w:t>
      </w:r>
    </w:p>
    <w:p w14:paraId="27C46966">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1124E2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5452AD2">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2FBBDDC">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E1684A2">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D258D41">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2B6DFA4">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49B06E4">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425AA4E">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F75592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BD8925E">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DA449E1">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C6E9197">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C8355E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8651CA9">
      <w:r>
        <w:br w:type="page"/>
      </w:r>
    </w:p>
    <w:p w14:paraId="7A86FC7C">
      <w:pPr>
        <w:spacing w:line="240" w:lineRule="auto"/>
        <w:jc w:val="center"/>
        <w:outlineLvl w:val="1"/>
      </w:pPr>
      <w:r>
        <w:rPr>
          <w:rFonts w:ascii="黑体" w:hAnsi="黑体" w:eastAsia="黑体"/>
          <w:sz w:val="32"/>
        </w:rPr>
        <w:t>第四部分 部门决算报表（见附表）</w:t>
      </w:r>
    </w:p>
    <w:p w14:paraId="72B77171">
      <w:pPr>
        <w:spacing w:line="240" w:lineRule="auto"/>
        <w:ind w:firstLine="640"/>
        <w:jc w:val="both"/>
      </w:pPr>
      <w:r>
        <w:rPr>
          <w:rFonts w:ascii="仿宋_GB2312" w:hAnsi="仿宋_GB2312" w:eastAsia="仿宋_GB2312"/>
          <w:b w:val="0"/>
          <w:sz w:val="32"/>
        </w:rPr>
        <w:t>一、《收入支出决算总表》</w:t>
      </w:r>
    </w:p>
    <w:p w14:paraId="7B48C5DC">
      <w:pPr>
        <w:spacing w:line="240" w:lineRule="auto"/>
        <w:ind w:firstLine="640"/>
        <w:jc w:val="both"/>
      </w:pPr>
      <w:r>
        <w:rPr>
          <w:rFonts w:ascii="仿宋_GB2312" w:hAnsi="仿宋_GB2312" w:eastAsia="仿宋_GB2312"/>
          <w:b w:val="0"/>
          <w:sz w:val="32"/>
        </w:rPr>
        <w:t>二、《收入决算表》</w:t>
      </w:r>
    </w:p>
    <w:p w14:paraId="297F851D">
      <w:pPr>
        <w:spacing w:line="240" w:lineRule="auto"/>
        <w:ind w:firstLine="640"/>
        <w:jc w:val="both"/>
      </w:pPr>
      <w:r>
        <w:rPr>
          <w:rFonts w:ascii="仿宋_GB2312" w:hAnsi="仿宋_GB2312" w:eastAsia="仿宋_GB2312"/>
          <w:b w:val="0"/>
          <w:sz w:val="32"/>
        </w:rPr>
        <w:t>三、《支出决算表》</w:t>
      </w:r>
    </w:p>
    <w:p w14:paraId="23D4C17D">
      <w:pPr>
        <w:spacing w:line="240" w:lineRule="auto"/>
        <w:ind w:firstLine="640"/>
        <w:jc w:val="both"/>
      </w:pPr>
      <w:r>
        <w:rPr>
          <w:rFonts w:ascii="仿宋_GB2312" w:hAnsi="仿宋_GB2312" w:eastAsia="仿宋_GB2312"/>
          <w:b w:val="0"/>
          <w:sz w:val="32"/>
        </w:rPr>
        <w:t>四、《财政拨款收入支出决算总表》</w:t>
      </w:r>
    </w:p>
    <w:p w14:paraId="1C24EA50">
      <w:pPr>
        <w:spacing w:line="240" w:lineRule="auto"/>
        <w:ind w:firstLine="640"/>
        <w:jc w:val="both"/>
      </w:pPr>
      <w:r>
        <w:rPr>
          <w:rFonts w:ascii="仿宋_GB2312" w:hAnsi="仿宋_GB2312" w:eastAsia="仿宋_GB2312"/>
          <w:b w:val="0"/>
          <w:sz w:val="32"/>
        </w:rPr>
        <w:t>五、《一般公共预算财政拨款支出决算表》</w:t>
      </w:r>
    </w:p>
    <w:p w14:paraId="0A1649A4">
      <w:pPr>
        <w:spacing w:line="240" w:lineRule="auto"/>
        <w:ind w:firstLine="640"/>
        <w:jc w:val="both"/>
      </w:pPr>
      <w:r>
        <w:rPr>
          <w:rFonts w:ascii="仿宋_GB2312" w:hAnsi="仿宋_GB2312" w:eastAsia="仿宋_GB2312"/>
          <w:b w:val="0"/>
          <w:sz w:val="32"/>
        </w:rPr>
        <w:t>六、《一般公共预算财政拨款基本支出决算表》</w:t>
      </w:r>
    </w:p>
    <w:p w14:paraId="670EB564">
      <w:pPr>
        <w:spacing w:line="240" w:lineRule="auto"/>
        <w:ind w:firstLine="640"/>
        <w:jc w:val="both"/>
      </w:pPr>
      <w:r>
        <w:rPr>
          <w:rFonts w:ascii="仿宋_GB2312" w:hAnsi="仿宋_GB2312" w:eastAsia="仿宋_GB2312"/>
          <w:b w:val="0"/>
          <w:sz w:val="32"/>
        </w:rPr>
        <w:t>七、《政府性基金预算财政拨款收入支出决算表》</w:t>
      </w:r>
    </w:p>
    <w:p w14:paraId="10E62BED">
      <w:pPr>
        <w:spacing w:line="240" w:lineRule="auto"/>
        <w:ind w:firstLine="640"/>
        <w:jc w:val="both"/>
      </w:pPr>
      <w:r>
        <w:rPr>
          <w:rFonts w:ascii="仿宋_GB2312" w:hAnsi="仿宋_GB2312" w:eastAsia="仿宋_GB2312"/>
          <w:b w:val="0"/>
          <w:sz w:val="32"/>
        </w:rPr>
        <w:t>八、《国有资本经营预算财政拨款收入支出决算表》</w:t>
      </w:r>
    </w:p>
    <w:p w14:paraId="283D8EAC">
      <w:pPr>
        <w:spacing w:line="240" w:lineRule="auto"/>
        <w:ind w:firstLine="640"/>
        <w:jc w:val="both"/>
      </w:pPr>
      <w:r>
        <w:rPr>
          <w:rFonts w:ascii="仿宋_GB2312" w:hAnsi="仿宋_GB2312" w:eastAsia="仿宋_GB2312"/>
          <w:b w:val="0"/>
          <w:sz w:val="32"/>
        </w:rPr>
        <w:t>九、《财政拨款“三公”经费支出决算表》</w:t>
      </w:r>
    </w:p>
    <w:p w14:paraId="22504722">
      <w:pPr>
        <w:spacing w:line="240" w:lineRule="auto"/>
        <w:ind w:firstLine="640"/>
        <w:jc w:val="both"/>
      </w:pPr>
    </w:p>
    <w:p w14:paraId="6F36B8C6">
      <w:pPr>
        <w:spacing w:line="240" w:lineRule="auto"/>
        <w:ind w:firstLine="640"/>
        <w:jc w:val="both"/>
      </w:pPr>
    </w:p>
    <w:p w14:paraId="4E552BAE">
      <w:pPr>
        <w:spacing w:line="240" w:lineRule="auto"/>
        <w:ind w:firstLine="640"/>
        <w:jc w:val="both"/>
      </w:pPr>
    </w:p>
    <w:p w14:paraId="0D1CC6CD">
      <w:pPr>
        <w:spacing w:line="240" w:lineRule="auto"/>
        <w:ind w:firstLine="640"/>
        <w:jc w:val="both"/>
      </w:pPr>
    </w:p>
    <w:p w14:paraId="60D6AC74">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C02922A-A5A0-447B-812F-188B7B0D712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C869DEB2-5F43-4D60-A9DC-1A8006520F5D}"/>
  </w:font>
  <w:font w:name="仿宋_GB2312">
    <w:altName w:val="仿宋"/>
    <w:panose1 w:val="02010609030101010101"/>
    <w:charset w:val="86"/>
    <w:family w:val="modern"/>
    <w:pitch w:val="default"/>
    <w:sig w:usb0="00000000" w:usb1="00000000" w:usb2="00000000" w:usb3="00000000" w:csb0="00040000" w:csb1="00000000"/>
    <w:embedRegular r:id="rId3" w:fontKey="{F4D95746-798E-4C42-860A-2BC87AD80914}"/>
  </w:font>
  <w:font w:name="楷体_GB2312">
    <w:altName w:val="楷体"/>
    <w:panose1 w:val="02010609030101010101"/>
    <w:charset w:val="86"/>
    <w:family w:val="auto"/>
    <w:pitch w:val="default"/>
    <w:sig w:usb0="00000000" w:usb1="00000000" w:usb2="00000000" w:usb3="00000000" w:csb0="00040000" w:csb1="00000000"/>
    <w:embedRegular r:id="rId4" w:fontKey="{21EAD1A4-5EA9-4FBC-95CA-7E68042B8C6E}"/>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75CEEF">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FC3B0D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4FC3B0D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0380EBF"/>
    <w:rsid w:val="11E15093"/>
    <w:rsid w:val="120E0809"/>
    <w:rsid w:val="19071D6C"/>
    <w:rsid w:val="19B5554D"/>
    <w:rsid w:val="1B8F2D19"/>
    <w:rsid w:val="1C317E4F"/>
    <w:rsid w:val="1C472464"/>
    <w:rsid w:val="1DAF458D"/>
    <w:rsid w:val="1E086ACE"/>
    <w:rsid w:val="1E4B5CA5"/>
    <w:rsid w:val="1EAA4A5F"/>
    <w:rsid w:val="1F587A0B"/>
    <w:rsid w:val="1FE24CD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5F87864"/>
    <w:rsid w:val="664C500C"/>
    <w:rsid w:val="67D111AB"/>
    <w:rsid w:val="68DB0208"/>
    <w:rsid w:val="68DF36D5"/>
    <w:rsid w:val="69846A0E"/>
    <w:rsid w:val="69AD798C"/>
    <w:rsid w:val="6B68175F"/>
    <w:rsid w:val="6B8B5C99"/>
    <w:rsid w:val="6CA7198F"/>
    <w:rsid w:val="6D8919A8"/>
    <w:rsid w:val="6DDB1073"/>
    <w:rsid w:val="6E0F7A08"/>
    <w:rsid w:val="6E801ABC"/>
    <w:rsid w:val="71473612"/>
    <w:rsid w:val="718F7F65"/>
    <w:rsid w:val="7260680F"/>
    <w:rsid w:val="73423603"/>
    <w:rsid w:val="737A5923"/>
    <w:rsid w:val="73DE4104"/>
    <w:rsid w:val="73FB6630"/>
    <w:rsid w:val="74CE04EC"/>
    <w:rsid w:val="74E76DCD"/>
    <w:rsid w:val="76660D7C"/>
    <w:rsid w:val="77ED6F44"/>
    <w:rsid w:val="795A0A34"/>
    <w:rsid w:val="7A0D3BC7"/>
    <w:rsid w:val="7A3A3CDB"/>
    <w:rsid w:val="7E6A6E6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4904</Words>
  <Characters>5395</Characters>
  <Lines>0</Lines>
  <Paragraphs>0</Paragraphs>
  <TotalTime>9</TotalTime>
  <ScaleCrop>false</ScaleCrop>
  <LinksUpToDate>false</LinksUpToDate>
  <CharactersWithSpaces>5405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2025-11-11T05:46:39Z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eyJoZGlkIjoiMjEwMjVmNmU3OTQwZDBjNjI0ZTM3MTBmNDI0OGIzYzIiLCJ1c2VySWQiOiIyMDM3MTI1NTkifQ==</vt:lpwstr>
  </property>
</Properties>
</file>