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阿图什市阿湖乡农村合作经济（统计）发展中心（财政所）2024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365962">
      <w:r>
        <w:br w:type="page"/>
      </w:r>
    </w:p>
    <w:p w14:paraId="56BA16DA">
      <w:pPr>
        <w:spacing w:line="640" w:lineRule="exact"/>
        <w:jc w:val="center"/>
        <w:outlineLvl w:val="1"/>
      </w:pPr>
      <w:r>
        <w:rPr>
          <w:rFonts w:ascii="黑体" w:hAnsi="黑体" w:eastAsia="黑体"/>
          <w:sz w:val="32"/>
        </w:rPr>
        <w:t>第一部分 单位概况</w:t>
      </w:r>
    </w:p>
    <w:p w14:paraId="6E73CBDB">
      <w:pPr>
        <w:spacing w:line="640" w:lineRule="exact"/>
        <w:ind w:firstLine="640"/>
        <w:jc w:val="both"/>
        <w:outlineLvl w:val="2"/>
      </w:pPr>
      <w:r>
        <w:rPr>
          <w:rFonts w:ascii="黑体" w:hAnsi="黑体" w:eastAsia="黑体"/>
          <w:sz w:val="32"/>
        </w:rPr>
        <w:t>一、主要职能</w:t>
      </w:r>
    </w:p>
    <w:p w14:paraId="5240A034">
      <w:pPr>
        <w:spacing w:line="580" w:lineRule="exact"/>
        <w:ind w:firstLine="640"/>
        <w:jc w:val="both"/>
      </w:pPr>
      <w:r>
        <w:rPr>
          <w:rFonts w:ascii="仿宋_GB2312" w:hAnsi="仿宋_GB2312" w:eastAsia="仿宋_GB2312"/>
          <w:sz w:val="32"/>
        </w:rPr>
        <w:t>负责组织和管理乡镇财政一般预算资金收入和支出，编制执行乡镇年度财政预算，编制乡镇年度财政决算，组织协调收入支出。执行会计集中核算，负责乡镇各单位会计核算和代理村级会计核算工作，财经政策执行。负责惠农补贴资金发放与信息化管理。负责本乡镇行政事业单位的国有资产监督管理工作，执行财政监督，参与农村综合改革</w:t>
      </w:r>
      <w:r>
        <w:rPr>
          <w:rFonts w:hint="eastAsia" w:ascii="仿宋_GB2312" w:hAnsi="仿宋_GB2312" w:eastAsia="仿宋_GB2312"/>
          <w:sz w:val="32"/>
          <w:lang w:eastAsia="zh-CN"/>
        </w:rPr>
        <w:t>；</w:t>
      </w:r>
      <w:r>
        <w:rPr>
          <w:rFonts w:ascii="仿宋_GB2312" w:hAnsi="仿宋_GB2312" w:eastAsia="仿宋_GB2312"/>
          <w:sz w:val="32"/>
        </w:rPr>
        <w:t>贯彻执行有关农村集体财产及财务管理的法律法规，组织开展农村审计工作，负责农村土地承包管理，负责“三资”管理，负责农经信息工作，农产品核算工作，农村合作社的建立和管理工作，发展壮大农村集体经济工作，村容村貌整治的指导和管理工作。完成上级业务主管部门和乡镇党委、政府安排的各项工作。</w:t>
      </w:r>
    </w:p>
    <w:p w14:paraId="5B04D7DA">
      <w:pPr>
        <w:spacing w:line="640" w:lineRule="exact"/>
        <w:ind w:firstLine="640"/>
        <w:jc w:val="both"/>
        <w:outlineLvl w:val="2"/>
      </w:pPr>
      <w:r>
        <w:rPr>
          <w:rFonts w:ascii="黑体" w:hAnsi="黑体" w:eastAsia="黑体"/>
          <w:sz w:val="32"/>
        </w:rPr>
        <w:t>二、机构设置及人员情况</w:t>
      </w:r>
    </w:p>
    <w:p w14:paraId="52B32998">
      <w:pPr>
        <w:spacing w:line="580" w:lineRule="exact"/>
        <w:ind w:firstLine="640"/>
        <w:jc w:val="both"/>
      </w:pPr>
      <w:r>
        <w:rPr>
          <w:rFonts w:ascii="仿宋_GB2312" w:hAnsi="仿宋_GB2312" w:eastAsia="仿宋_GB2312"/>
          <w:sz w:val="32"/>
        </w:rPr>
        <w:t>阿图什市阿湖乡农村合作经济（统计）发展中心（财政所）2024年度，实有人数39人，其中：在职人员26人，减少2人；离休人员0人，增加0人；退休人员13人,增加3人。</w:t>
      </w:r>
    </w:p>
    <w:p w14:paraId="31A501DD">
      <w:pPr>
        <w:spacing w:line="580" w:lineRule="exact"/>
        <w:ind w:firstLine="640"/>
        <w:jc w:val="both"/>
      </w:pPr>
      <w:r>
        <w:rPr>
          <w:rFonts w:ascii="仿宋_GB2312" w:hAnsi="仿宋_GB2312" w:eastAsia="仿宋_GB2312"/>
          <w:sz w:val="32"/>
        </w:rPr>
        <w:t>阿图什市阿湖乡农村合作经济（统计）发展中心（财政所）无下属预算单位，下设5个科室，分别是：所长室、会计室、统计室、“一卡通”办公室、村级“三资”管理室。</w:t>
      </w:r>
    </w:p>
    <w:p w14:paraId="0C7E5243">
      <w:r>
        <w:br w:type="page"/>
      </w:r>
    </w:p>
    <w:p w14:paraId="1E236E60">
      <w:pPr>
        <w:spacing w:line="240" w:lineRule="auto"/>
        <w:jc w:val="center"/>
        <w:outlineLvl w:val="1"/>
      </w:pPr>
      <w:r>
        <w:rPr>
          <w:rFonts w:ascii="黑体" w:hAnsi="黑体" w:eastAsia="黑体"/>
          <w:sz w:val="32"/>
        </w:rPr>
        <w:t>第二部分 部门决算情况说明</w:t>
      </w:r>
    </w:p>
    <w:p w14:paraId="0B308256">
      <w:pPr>
        <w:spacing w:line="640" w:lineRule="exact"/>
        <w:ind w:firstLine="640"/>
        <w:jc w:val="both"/>
        <w:outlineLvl w:val="2"/>
      </w:pPr>
      <w:r>
        <w:rPr>
          <w:rFonts w:ascii="黑体" w:hAnsi="黑体" w:eastAsia="黑体"/>
          <w:sz w:val="32"/>
        </w:rPr>
        <w:t>一、收入支出决算总体情况说明</w:t>
      </w:r>
    </w:p>
    <w:p w14:paraId="56A45BFB">
      <w:pPr>
        <w:spacing w:line="580" w:lineRule="exact"/>
        <w:ind w:firstLine="640"/>
        <w:jc w:val="both"/>
      </w:pPr>
      <w:r>
        <w:rPr>
          <w:rFonts w:ascii="仿宋_GB2312" w:hAnsi="仿宋_GB2312" w:eastAsia="仿宋_GB2312"/>
          <w:b/>
          <w:sz w:val="32"/>
        </w:rPr>
        <w:t>2024年度收入总计530.52万元，</w:t>
      </w:r>
      <w:r>
        <w:rPr>
          <w:rFonts w:ascii="仿宋_GB2312" w:hAnsi="仿宋_GB2312" w:eastAsia="仿宋_GB2312"/>
          <w:b w:val="0"/>
          <w:sz w:val="32"/>
        </w:rPr>
        <w:t>其中：本年收入合计530.52万元，使用非财政拨款结余（含专用结余）0.00万元，年初结转和结余0.00万元。</w:t>
      </w:r>
    </w:p>
    <w:p w14:paraId="1BAD4A2A">
      <w:pPr>
        <w:spacing w:line="580" w:lineRule="exact"/>
        <w:ind w:firstLine="640"/>
        <w:jc w:val="both"/>
      </w:pPr>
      <w:r>
        <w:rPr>
          <w:rFonts w:ascii="仿宋_GB2312" w:hAnsi="仿宋_GB2312" w:eastAsia="仿宋_GB2312"/>
          <w:b/>
          <w:sz w:val="32"/>
        </w:rPr>
        <w:t>2024年度支出总计530.52万元，</w:t>
      </w:r>
      <w:r>
        <w:rPr>
          <w:rFonts w:ascii="仿宋_GB2312" w:hAnsi="仿宋_GB2312" w:eastAsia="仿宋_GB2312"/>
          <w:b w:val="0"/>
          <w:sz w:val="32"/>
        </w:rPr>
        <w:t>其中：本年支出合计530.52万元，结余分配0.00万元，年末结转和结余0.00万元。</w:t>
      </w:r>
    </w:p>
    <w:p w14:paraId="2C5BBC08">
      <w:pPr>
        <w:spacing w:line="580" w:lineRule="exact"/>
        <w:ind w:firstLine="640"/>
        <w:jc w:val="both"/>
      </w:pPr>
      <w:r>
        <w:rPr>
          <w:rFonts w:ascii="仿宋_GB2312" w:hAnsi="仿宋_GB2312" w:eastAsia="仿宋_GB2312"/>
          <w:b w:val="0"/>
          <w:sz w:val="32"/>
        </w:rPr>
        <w:t>收入支出总体与上年相比，增加52.42万元，增长10.96%，主要原因是：本年在职人员工资调增，社保、公积金基数调增，人员经费增加。</w:t>
      </w:r>
    </w:p>
    <w:p w14:paraId="27EECE2B">
      <w:pPr>
        <w:spacing w:line="640" w:lineRule="exact"/>
        <w:ind w:firstLine="640"/>
        <w:jc w:val="both"/>
        <w:outlineLvl w:val="2"/>
      </w:pPr>
      <w:r>
        <w:rPr>
          <w:rFonts w:ascii="黑体" w:hAnsi="黑体" w:eastAsia="黑体"/>
          <w:sz w:val="32"/>
        </w:rPr>
        <w:t>二、收入决算情况说明</w:t>
      </w:r>
    </w:p>
    <w:p w14:paraId="2FC1FE8E">
      <w:pPr>
        <w:spacing w:line="580" w:lineRule="exact"/>
        <w:ind w:firstLine="640"/>
        <w:jc w:val="both"/>
      </w:pPr>
      <w:r>
        <w:rPr>
          <w:rFonts w:ascii="仿宋_GB2312" w:hAnsi="仿宋_GB2312" w:eastAsia="仿宋_GB2312"/>
          <w:b/>
          <w:sz w:val="32"/>
        </w:rPr>
        <w:t>本年收入530.52万元，</w:t>
      </w:r>
      <w:r>
        <w:rPr>
          <w:rFonts w:ascii="仿宋_GB2312" w:hAnsi="仿宋_GB2312" w:eastAsia="仿宋_GB2312"/>
          <w:b w:val="0"/>
          <w:sz w:val="32"/>
        </w:rPr>
        <w:t>其中：财政拨款收入530.52万元，占100.00%；上级补助收入0.00万元，占0.00%；事业收入0.00万元，占0.00%；经营收入0.00万元，占0.00%；附属单位上缴收入0.00万元，占0.00%；其他收入0.00万元，占0.00%。</w:t>
      </w:r>
    </w:p>
    <w:p w14:paraId="62983FAD">
      <w:pPr>
        <w:spacing w:line="640" w:lineRule="exact"/>
        <w:ind w:firstLine="640"/>
        <w:jc w:val="both"/>
        <w:outlineLvl w:val="2"/>
      </w:pPr>
      <w:r>
        <w:rPr>
          <w:rFonts w:ascii="黑体" w:hAnsi="黑体" w:eastAsia="黑体"/>
          <w:sz w:val="32"/>
        </w:rPr>
        <w:t>三、支出决算情况说明</w:t>
      </w:r>
    </w:p>
    <w:p w14:paraId="0177DE72">
      <w:pPr>
        <w:spacing w:line="580" w:lineRule="exact"/>
        <w:ind w:firstLine="640"/>
        <w:jc w:val="both"/>
      </w:pPr>
      <w:r>
        <w:rPr>
          <w:rFonts w:ascii="仿宋_GB2312" w:hAnsi="仿宋_GB2312" w:eastAsia="仿宋_GB2312"/>
          <w:b/>
          <w:sz w:val="32"/>
        </w:rPr>
        <w:t>本年支出530.52万元，</w:t>
      </w:r>
      <w:r>
        <w:rPr>
          <w:rFonts w:ascii="仿宋_GB2312" w:hAnsi="仿宋_GB2312" w:eastAsia="仿宋_GB2312"/>
          <w:b w:val="0"/>
          <w:sz w:val="32"/>
        </w:rPr>
        <w:t>其中：基本支出530.52万元，占100.00%；项目支出0.00万元，占0.00%；上缴上级支出0.00万元，占0.00%；经营支出0.00万元，占0.00%；对附属单位补助支出0.00万元，占0.00%。</w:t>
      </w:r>
    </w:p>
    <w:p w14:paraId="64830EF5">
      <w:pPr>
        <w:spacing w:line="640" w:lineRule="exact"/>
        <w:ind w:firstLine="640"/>
        <w:jc w:val="both"/>
        <w:outlineLvl w:val="2"/>
      </w:pPr>
      <w:r>
        <w:rPr>
          <w:rFonts w:ascii="黑体" w:hAnsi="黑体" w:eastAsia="黑体"/>
          <w:sz w:val="32"/>
        </w:rPr>
        <w:t>四、财政拨款收入支出决算总体情况说明</w:t>
      </w:r>
    </w:p>
    <w:p w14:paraId="4B571A8D">
      <w:pPr>
        <w:spacing w:line="580" w:lineRule="exact"/>
        <w:ind w:firstLine="640"/>
        <w:jc w:val="both"/>
      </w:pPr>
      <w:r>
        <w:rPr>
          <w:rFonts w:ascii="仿宋_GB2312" w:hAnsi="仿宋_GB2312" w:eastAsia="仿宋_GB2312"/>
          <w:b/>
          <w:sz w:val="32"/>
        </w:rPr>
        <w:t>2024年度财政拨款收入总计530.52万元，</w:t>
      </w:r>
      <w:r>
        <w:rPr>
          <w:rFonts w:ascii="仿宋_GB2312" w:hAnsi="仿宋_GB2312" w:eastAsia="仿宋_GB2312"/>
          <w:b w:val="0"/>
          <w:sz w:val="32"/>
        </w:rPr>
        <w:t>其中：年初财政拨款结转和结余0.00万元，本年财政拨款收入530.52万元。</w:t>
      </w:r>
      <w:r>
        <w:rPr>
          <w:rFonts w:ascii="仿宋_GB2312" w:hAnsi="仿宋_GB2312" w:eastAsia="仿宋_GB2312"/>
          <w:b/>
          <w:sz w:val="32"/>
        </w:rPr>
        <w:t>财政拨款支出总计530.52万元，</w:t>
      </w:r>
      <w:r>
        <w:rPr>
          <w:rFonts w:ascii="仿宋_GB2312" w:hAnsi="仿宋_GB2312" w:eastAsia="仿宋_GB2312"/>
          <w:b w:val="0"/>
          <w:sz w:val="32"/>
        </w:rPr>
        <w:t>其中：年末财政拨款结转和结余0.00万元，本年财政拨款支出530.52万元。</w:t>
      </w:r>
    </w:p>
    <w:p w14:paraId="676CE0B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增加52.42万元，增长10.96%，主要原因是：本年在职人员工资调增，社保、公积金基数调增，人员经费增加。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年初预算数482.73万元，决算数530.52万元，预决算差异率9.90%，主要原因是：年中追加人员工资、社保、公积金基数调增部分资金，导致预决算存在差异。</w:t>
      </w:r>
    </w:p>
    <w:p w14:paraId="09EE39A3">
      <w:pPr>
        <w:spacing w:line="640" w:lineRule="exact"/>
        <w:ind w:firstLine="640"/>
        <w:jc w:val="both"/>
        <w:outlineLvl w:val="2"/>
      </w:pPr>
      <w:r>
        <w:rPr>
          <w:rFonts w:ascii="黑体" w:hAnsi="黑体" w:eastAsia="黑体"/>
          <w:sz w:val="32"/>
        </w:rPr>
        <w:t>五、一般公共预算财政拨款支出决算情况说明</w:t>
      </w:r>
    </w:p>
    <w:p w14:paraId="22D53F15">
      <w:pPr>
        <w:spacing w:line="640" w:lineRule="exact"/>
        <w:ind w:firstLine="640"/>
        <w:jc w:val="both"/>
        <w:outlineLvl w:val="3"/>
      </w:pPr>
      <w:r>
        <w:rPr>
          <w:rFonts w:ascii="楷体_GB2312" w:hAnsi="楷体_GB2312" w:eastAsia="楷体_GB2312"/>
          <w:b/>
          <w:sz w:val="32"/>
        </w:rPr>
        <w:t>（一）一般公共预算财政拨款支出决算总体情况</w:t>
      </w:r>
    </w:p>
    <w:p w14:paraId="0A7741B4">
      <w:pPr>
        <w:spacing w:line="580" w:lineRule="exact"/>
        <w:ind w:firstLine="640"/>
        <w:jc w:val="both"/>
      </w:pPr>
      <w:r>
        <w:rPr>
          <w:rFonts w:ascii="仿宋_GB2312" w:hAnsi="仿宋_GB2312" w:eastAsia="仿宋_GB2312"/>
          <w:b/>
          <w:sz w:val="32"/>
        </w:rPr>
        <w:t>2024年度一般公共预算财政拨款支出530.52万元，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增加52.42万元，增长10.96%，主要原因是：本年在职人员工资调增，社保、公积金基数调增，人员经费增加。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年初预算数482.73万元，决算数530.52万元，预决算差异率9.90%，主要原因是：年中追加人员工资、社保、公积金基数调增部分资金，导致预决算存在差异。</w:t>
      </w:r>
    </w:p>
    <w:p w14:paraId="3E74E02A">
      <w:pPr>
        <w:spacing w:line="640" w:lineRule="exact"/>
        <w:ind w:firstLine="640"/>
        <w:jc w:val="both"/>
        <w:outlineLvl w:val="3"/>
      </w:pPr>
      <w:r>
        <w:rPr>
          <w:rFonts w:ascii="楷体_GB2312" w:hAnsi="楷体_GB2312" w:eastAsia="楷体_GB2312"/>
          <w:b/>
          <w:sz w:val="32"/>
        </w:rPr>
        <w:t>（二）一般公共预算财政拨款支出决算结构情况</w:t>
      </w:r>
    </w:p>
    <w:p w14:paraId="0100EEAE">
      <w:pPr>
        <w:spacing w:line="580" w:lineRule="exact"/>
        <w:ind w:firstLine="640"/>
        <w:jc w:val="both"/>
      </w:pPr>
      <w:r>
        <w:rPr>
          <w:rFonts w:ascii="仿宋_GB2312" w:hAnsi="仿宋_GB2312" w:eastAsia="仿宋_GB2312"/>
          <w:b w:val="0"/>
          <w:sz w:val="32"/>
        </w:rPr>
        <w:t>1.一般公共服务支出(类)399.42万元,占75.29%。</w:t>
      </w:r>
    </w:p>
    <w:p w14:paraId="5B9EAE68">
      <w:pPr>
        <w:spacing w:line="580" w:lineRule="exact"/>
        <w:ind w:firstLine="640"/>
        <w:jc w:val="both"/>
      </w:pPr>
      <w:r>
        <w:rPr>
          <w:rFonts w:ascii="仿宋_GB2312" w:hAnsi="仿宋_GB2312" w:eastAsia="仿宋_GB2312"/>
          <w:b w:val="0"/>
          <w:sz w:val="32"/>
        </w:rPr>
        <w:t>2.社会保障和就业支出(类)75.98万元,占14.32%。</w:t>
      </w:r>
    </w:p>
    <w:p w14:paraId="4E5D978A">
      <w:pPr>
        <w:spacing w:line="580" w:lineRule="exact"/>
        <w:ind w:firstLine="640"/>
        <w:jc w:val="both"/>
      </w:pPr>
      <w:r>
        <w:rPr>
          <w:rFonts w:ascii="仿宋_GB2312" w:hAnsi="仿宋_GB2312" w:eastAsia="仿宋_GB2312"/>
          <w:b w:val="0"/>
          <w:sz w:val="32"/>
        </w:rPr>
        <w:t>3.卫生健康支出(类)15.75万元,占2.97%。</w:t>
      </w:r>
    </w:p>
    <w:p w14:paraId="5B4317EB">
      <w:pPr>
        <w:spacing w:line="580" w:lineRule="exact"/>
        <w:ind w:firstLine="640"/>
        <w:jc w:val="both"/>
      </w:pPr>
      <w:r>
        <w:rPr>
          <w:rFonts w:ascii="仿宋_GB2312" w:hAnsi="仿宋_GB2312" w:eastAsia="仿宋_GB2312"/>
          <w:b w:val="0"/>
          <w:sz w:val="32"/>
        </w:rPr>
        <w:t>4.住房保障支出(类)39.37万元,占7.42%。</w:t>
      </w:r>
    </w:p>
    <w:p w14:paraId="3388A586">
      <w:pPr>
        <w:spacing w:line="640" w:lineRule="exact"/>
        <w:ind w:firstLine="640"/>
        <w:jc w:val="both"/>
        <w:outlineLvl w:val="3"/>
      </w:pPr>
      <w:r>
        <w:rPr>
          <w:rFonts w:ascii="楷体_GB2312" w:hAnsi="楷体_GB2312" w:eastAsia="楷体_GB2312"/>
          <w:b/>
          <w:sz w:val="32"/>
        </w:rPr>
        <w:t>（三）一般公共预算财政拨款支出决算具体情况</w:t>
      </w:r>
    </w:p>
    <w:p w14:paraId="1DE109E8">
      <w:pPr>
        <w:spacing w:line="580" w:lineRule="exact"/>
        <w:ind w:firstLine="640"/>
        <w:jc w:val="both"/>
      </w:pPr>
      <w:r>
        <w:rPr>
          <w:rFonts w:ascii="仿宋_GB2312" w:hAnsi="仿宋_GB2312" w:eastAsia="仿宋_GB2312"/>
          <w:b w:val="0"/>
          <w:sz w:val="32"/>
        </w:rPr>
        <w:t>1.一般公共服务支出(类)财政事务(款)行政运行(项):支出决算数为18.76万元，比上年决算减少11.21万元，下降37.40%,主要原因是：本年在职人员减少，相应人员经费较上年减少。</w:t>
      </w:r>
    </w:p>
    <w:p w14:paraId="0BD25356">
      <w:pPr>
        <w:spacing w:line="580" w:lineRule="exact"/>
        <w:ind w:firstLine="640"/>
        <w:jc w:val="both"/>
      </w:pPr>
      <w:r>
        <w:rPr>
          <w:rFonts w:ascii="仿宋_GB2312" w:hAnsi="仿宋_GB2312" w:eastAsia="仿宋_GB2312"/>
          <w:b w:val="0"/>
          <w:sz w:val="32"/>
        </w:rPr>
        <w:t>2.一般公共服务支出(类)财政事务(款)事业运行(项):支出决算数为380.67万元，比上年决算增加47.74万元，增长14.34%,主要原因是：本年在职人员工资调增，导致相关人员经费较上年有所增加。</w:t>
      </w:r>
    </w:p>
    <w:p w14:paraId="0EEA19A7">
      <w:pPr>
        <w:spacing w:line="580" w:lineRule="exact"/>
        <w:ind w:firstLine="640"/>
        <w:jc w:val="both"/>
      </w:pPr>
      <w:r>
        <w:rPr>
          <w:rFonts w:ascii="仿宋_GB2312" w:hAnsi="仿宋_GB2312" w:eastAsia="仿宋_GB2312"/>
          <w:b w:val="0"/>
          <w:sz w:val="32"/>
        </w:rPr>
        <w:t>3.一般公共服务支出(类)财政事务(款)其他财政事务支出(项):支出决算数为0.00万元，比上年决算减少2.16万元，下降100.00%,主要原因是：本年减少办公费、邮电费，导致此科目无支出。</w:t>
      </w:r>
    </w:p>
    <w:p w14:paraId="70C6AF8A">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4.一般公共服务支出(类)党委办公厅（室）及相关机构事务(款)行政运行(项):支出决算数为0.00万元，比上年决算减少0.42万元，下降100.00%,主要原因是：上年发放奖励性绩效工资，本年无此情况，故此科目无支出。</w:t>
      </w:r>
    </w:p>
    <w:p w14:paraId="5E07A296">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5.社会保障和就业支出(类)行政事业单位养老支出(款)行政单位离退休(项):支出决算数为5.78万元，比上年决算增加1.93万元，增长50.13%,主要原因是：本年退休人员增加，退休费支出增加。</w:t>
      </w:r>
    </w:p>
    <w:p w14:paraId="5651E8B0">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6.社会保障和就业支出(类)行政事业单位养老支出(款)事业单位离退休(项):支出决算数为7.08万元，比上年决算增加0.49万元，增长7.44%,主要原因是：本年退休人员增加，退休费支出增加。</w:t>
      </w:r>
    </w:p>
    <w:p w14:paraId="719B0E1A">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48.68万元，比上年决算增加7.65万元，增长18.64%,主要原因是：本年在职人员工资基数调增，养老缴费基数上涨，相应支出增加。</w:t>
      </w:r>
    </w:p>
    <w:p w14:paraId="4A589BA2">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8.社会保障和就业支出(类)行政事业单位养老支出(款)机关事业单位职业年金缴费支出(项):支出决算数为14.44万元，比上年决算增加1.56万元，增长12.11%,主要原因是：本年新增退休人员，职业年金缴费支出增加。</w:t>
      </w:r>
    </w:p>
    <w:p w14:paraId="1356D317">
      <w:pPr>
        <w:spacing w:line="580" w:lineRule="exact"/>
        <w:ind w:firstLine="640"/>
        <w:jc w:val="both"/>
      </w:pPr>
      <w:r>
        <w:rPr>
          <w:rFonts w:ascii="仿宋_GB2312" w:hAnsi="仿宋_GB2312" w:eastAsia="仿宋_GB2312"/>
          <w:b w:val="0"/>
          <w:sz w:val="32"/>
        </w:rPr>
        <w:t>9.卫生健康支出(类)行政事业单位医疗(款)行政单位医疗(项):支出决算数为0.75万元，比上年决算减少0.50万元，下降40.00%,主要原因是：本年在职人员减少，行政单位医疗支出较上年减少。</w:t>
      </w:r>
    </w:p>
    <w:p w14:paraId="17B83E56">
      <w:pPr>
        <w:spacing w:line="580" w:lineRule="exact"/>
        <w:ind w:firstLine="640"/>
        <w:jc w:val="both"/>
      </w:pPr>
      <w:r>
        <w:rPr>
          <w:rFonts w:ascii="仿宋_GB2312" w:hAnsi="仿宋_GB2312" w:eastAsia="仿宋_GB2312"/>
          <w:b w:val="0"/>
          <w:sz w:val="32"/>
        </w:rPr>
        <w:t>10.卫生健康支出(类)行政事业单位医疗(款)事业单位医疗(项):支出决算数为15.00万元，比上年决算增加3.48万元，增长30.21%,主要原因是：本年在职人员工资基数调增，医疗缴费基数上涨，相应支出增加。</w:t>
      </w:r>
    </w:p>
    <w:p w14:paraId="43893370">
      <w:pPr>
        <w:spacing w:line="580" w:lineRule="exact"/>
        <w:ind w:firstLine="640"/>
        <w:jc w:val="both"/>
      </w:pPr>
      <w:r>
        <w:rPr>
          <w:rFonts w:ascii="仿宋_GB2312" w:hAnsi="仿宋_GB2312" w:eastAsia="仿宋_GB2312"/>
          <w:b w:val="0"/>
          <w:sz w:val="32"/>
        </w:rPr>
        <w:t>11.住房保障支出(类)住房改革支出(款)住房公积金(项):支出决算数为39.37万元，比上年决算增加3.86万元，增长10.87%,主要原因是：本年在职人员工资基数调增，公积金缴费基数上涨，相应支出增加。</w:t>
      </w:r>
    </w:p>
    <w:p w14:paraId="18B42543">
      <w:pPr>
        <w:spacing w:line="640" w:lineRule="exact"/>
        <w:ind w:firstLine="640"/>
        <w:jc w:val="both"/>
        <w:outlineLvl w:val="2"/>
      </w:pPr>
      <w:r>
        <w:rPr>
          <w:rFonts w:ascii="黑体" w:hAnsi="黑体" w:eastAsia="黑体"/>
          <w:sz w:val="32"/>
        </w:rPr>
        <w:t>六、一般公共预算财政拨款基本支出决算情况说明</w:t>
      </w:r>
    </w:p>
    <w:p w14:paraId="7AB57A36">
      <w:pPr>
        <w:spacing w:line="580" w:lineRule="exact"/>
        <w:ind w:firstLine="640"/>
        <w:jc w:val="both"/>
      </w:pPr>
      <w:r>
        <w:rPr>
          <w:rFonts w:ascii="仿宋_GB2312" w:hAnsi="仿宋_GB2312" w:eastAsia="仿宋_GB2312"/>
          <w:b w:val="0"/>
          <w:sz w:val="32"/>
        </w:rPr>
        <w:t>2024年度一般公共预算财政拨款基本支出530.52万元，其中：</w:t>
      </w:r>
      <w:r>
        <w:rPr>
          <w:rFonts w:ascii="仿宋_GB2312" w:hAnsi="仿宋_GB2312" w:eastAsia="仿宋_GB2312"/>
          <w:b/>
          <w:sz w:val="32"/>
        </w:rPr>
        <w:t>人员经费528.27万元，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3FC79A69">
      <w:pPr>
        <w:spacing w:line="580" w:lineRule="exact"/>
        <w:ind w:firstLine="640"/>
        <w:jc w:val="both"/>
      </w:pPr>
      <w:r>
        <w:rPr>
          <w:rFonts w:ascii="仿宋_GB2312" w:hAnsi="仿宋_GB2312" w:eastAsia="仿宋_GB2312"/>
          <w:b/>
          <w:sz w:val="32"/>
        </w:rPr>
        <w:t>公用经费2.25万元，</w:t>
      </w:r>
      <w:r>
        <w:rPr>
          <w:rFonts w:ascii="仿宋_GB2312" w:hAnsi="仿宋_GB2312" w:eastAsia="仿宋_GB2312"/>
          <w:b w:val="0"/>
          <w:sz w:val="32"/>
        </w:rPr>
        <w:t>包括：办公费、电费、维修（护）费、公务用车运行维护费、其他商品和服务支出。</w:t>
      </w:r>
    </w:p>
    <w:p w14:paraId="7D41816D">
      <w:pPr>
        <w:spacing w:line="640" w:lineRule="exact"/>
        <w:ind w:firstLine="640"/>
        <w:jc w:val="both"/>
        <w:outlineLvl w:val="2"/>
      </w:pPr>
      <w:r>
        <w:rPr>
          <w:rFonts w:ascii="黑体" w:hAnsi="黑体" w:eastAsia="黑体"/>
          <w:sz w:val="32"/>
        </w:rPr>
        <w:t>七、政府性基金预算财政拨款收入支出决算情况说明</w:t>
      </w:r>
    </w:p>
    <w:p w14:paraId="53F0BE2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31909CD">
      <w:pPr>
        <w:spacing w:line="640" w:lineRule="exact"/>
        <w:ind w:firstLine="640"/>
        <w:jc w:val="both"/>
        <w:outlineLvl w:val="2"/>
      </w:pPr>
      <w:r>
        <w:rPr>
          <w:rFonts w:ascii="黑体" w:hAnsi="黑体" w:eastAsia="黑体"/>
          <w:sz w:val="32"/>
        </w:rPr>
        <w:t>八、国有资本经营预算财政拨款收入支出决算情况说明</w:t>
      </w:r>
    </w:p>
    <w:p w14:paraId="55E7A8E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A6C7E2">
      <w:pPr>
        <w:spacing w:line="640" w:lineRule="exact"/>
        <w:ind w:firstLine="640"/>
        <w:jc w:val="both"/>
        <w:outlineLvl w:val="2"/>
      </w:pPr>
      <w:r>
        <w:rPr>
          <w:rFonts w:ascii="黑体" w:hAnsi="黑体" w:eastAsia="黑体"/>
          <w:sz w:val="32"/>
        </w:rPr>
        <w:t>九、财政拨款“三公”经费支出决算情况说明</w:t>
      </w:r>
    </w:p>
    <w:p w14:paraId="3A517798">
      <w:pPr>
        <w:spacing w:line="580" w:lineRule="exact"/>
        <w:ind w:firstLine="640"/>
        <w:jc w:val="both"/>
      </w:pPr>
      <w:r>
        <w:rPr>
          <w:rFonts w:ascii="仿宋_GB2312" w:hAnsi="仿宋_GB2312" w:eastAsia="仿宋_GB2312"/>
          <w:b/>
          <w:sz w:val="32"/>
        </w:rPr>
        <w:t>2024年度财政拨款“三公”经费支出0.42万元，</w:t>
      </w:r>
      <w:r>
        <w:rPr>
          <w:rFonts w:ascii="仿宋_GB2312" w:hAnsi="仿宋_GB2312" w:eastAsia="仿宋_GB2312"/>
          <w:b w:val="0"/>
          <w:sz w:val="32"/>
        </w:rPr>
        <w:t>比上年增加0.42万元，增长100.00%，主要原因是：本年因业务需求，</w:t>
      </w:r>
      <w:r>
        <w:rPr>
          <w:rFonts w:hint="eastAsia" w:ascii="仿宋_GB2312" w:hAnsi="仿宋_GB2312" w:eastAsia="仿宋_GB2312"/>
          <w:b w:val="0"/>
          <w:sz w:val="32"/>
          <w:lang w:val="en-US" w:eastAsia="zh-CN"/>
        </w:rPr>
        <w:t>用车次数增加</w:t>
      </w:r>
      <w:r>
        <w:rPr>
          <w:rFonts w:ascii="仿宋_GB2312" w:hAnsi="仿宋_GB2312" w:eastAsia="仿宋_GB2312"/>
          <w:b w:val="0"/>
          <w:sz w:val="32"/>
        </w:rPr>
        <w:t>，燃油费增加，导致公务用车运行维护费较上年增加。其中：因公出国（境）费支出0.00万元，占0.00%，比上年增加0.00万元，增长0.00%，主要原因是：2023年与2024年均未安排因公出国（境）费支出。公务用车购置及运行维护费支出0.42万元，占100.00%，比上年增加0.42万元，增长100.00%，主要原因是：本年因业务需求，</w:t>
      </w:r>
      <w:r>
        <w:rPr>
          <w:rFonts w:hint="eastAsia" w:ascii="仿宋_GB2312" w:hAnsi="仿宋_GB2312" w:eastAsia="仿宋_GB2312"/>
          <w:b w:val="0"/>
          <w:sz w:val="32"/>
          <w:lang w:val="en-US" w:eastAsia="zh-CN"/>
        </w:rPr>
        <w:t>用车次数增加</w:t>
      </w:r>
      <w:bookmarkStart w:id="0" w:name="_GoBack"/>
      <w:bookmarkEnd w:id="0"/>
      <w:r>
        <w:rPr>
          <w:rFonts w:ascii="仿宋_GB2312" w:hAnsi="仿宋_GB2312" w:eastAsia="仿宋_GB2312"/>
          <w:b w:val="0"/>
          <w:sz w:val="32"/>
        </w:rPr>
        <w:t>，燃油费增加，导致公务用车运行维护费较上年增加。公务接待费支出0.00万元，占0.00%，比上年增加0.00万元，增长0.00%，主要原因是：2023年与2024年均未安排公务接待费支出。</w:t>
      </w:r>
    </w:p>
    <w:p w14:paraId="6BA397A6">
      <w:pPr>
        <w:spacing w:line="580" w:lineRule="exact"/>
        <w:ind w:firstLine="640"/>
        <w:jc w:val="both"/>
      </w:pPr>
      <w:r>
        <w:rPr>
          <w:rFonts w:ascii="仿宋_GB2312" w:hAnsi="仿宋_GB2312" w:eastAsia="仿宋_GB2312"/>
          <w:b/>
          <w:sz w:val="32"/>
        </w:rPr>
        <w:t>具体情况如下：</w:t>
      </w:r>
    </w:p>
    <w:p w14:paraId="57BDCB8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DF3A04">
      <w:pPr>
        <w:spacing w:line="580" w:lineRule="exact"/>
        <w:ind w:firstLine="640"/>
        <w:jc w:val="both"/>
      </w:pPr>
      <w:r>
        <w:rPr>
          <w:rFonts w:ascii="仿宋_GB2312" w:hAnsi="仿宋_GB2312" w:eastAsia="仿宋_GB2312"/>
          <w:b w:val="0"/>
          <w:sz w:val="32"/>
        </w:rPr>
        <w:t>公务用车购置及运行维护费0.42万元，其中：公务用车购置费0.00万元，公务用车运行维护费0.42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w:t>
      </w:r>
      <w:r>
        <w:rPr>
          <w:rFonts w:hint="eastAsia" w:ascii="仿宋_GB2312" w:hAnsi="仿宋_GB2312" w:eastAsia="仿宋_GB2312"/>
          <w:b w:val="0"/>
          <w:sz w:val="32"/>
          <w:lang w:val="en-US" w:eastAsia="zh-CN"/>
        </w:rPr>
        <w:t>单位公务用车运行维护费</w:t>
      </w:r>
      <w:r>
        <w:rPr>
          <w:rFonts w:ascii="仿宋_GB2312" w:hAnsi="仿宋_GB2312" w:eastAsia="仿宋_GB2312"/>
          <w:b w:val="0"/>
          <w:sz w:val="32"/>
        </w:rPr>
        <w:t>支付。</w:t>
      </w:r>
    </w:p>
    <w:p w14:paraId="166869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D4B9E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0.42万元，决算数0.42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0.42万元，决算数0.42万元，预决算差异率0.00%，主要原因是：严格按照预算执行，预决算无差异。公务接待费全年预算数0.00万元，决算数0.00万元，预决算差异率0.00%，主要原因是：本单位无公务接待费。</w:t>
      </w:r>
    </w:p>
    <w:p w14:paraId="4D2B9596">
      <w:pPr>
        <w:spacing w:line="640" w:lineRule="exact"/>
        <w:ind w:firstLine="640"/>
        <w:jc w:val="both"/>
        <w:outlineLvl w:val="2"/>
      </w:pPr>
      <w:r>
        <w:rPr>
          <w:rFonts w:ascii="黑体" w:hAnsi="黑体" w:eastAsia="黑体"/>
          <w:sz w:val="32"/>
        </w:rPr>
        <w:t>十、其他重要事项的情况说明</w:t>
      </w:r>
    </w:p>
    <w:p w14:paraId="13D78C5F">
      <w:pPr>
        <w:spacing w:line="640" w:lineRule="exact"/>
        <w:ind w:firstLine="640"/>
        <w:jc w:val="both"/>
        <w:outlineLvl w:val="3"/>
      </w:pPr>
      <w:r>
        <w:rPr>
          <w:rFonts w:ascii="楷体_GB2312" w:hAnsi="楷体_GB2312" w:eastAsia="楷体_GB2312"/>
          <w:b/>
          <w:sz w:val="32"/>
        </w:rPr>
        <w:t>（一）机关运行经费及公用经费支出情况</w:t>
      </w:r>
    </w:p>
    <w:p w14:paraId="4271BA36">
      <w:pPr>
        <w:spacing w:line="580" w:lineRule="exact"/>
        <w:ind w:firstLine="640"/>
        <w:jc w:val="both"/>
      </w:pPr>
      <w:r>
        <w:rPr>
          <w:rFonts w:ascii="仿宋_GB2312" w:hAnsi="仿宋_GB2312" w:eastAsia="仿宋_GB2312"/>
          <w:b w:val="0"/>
          <w:sz w:val="32"/>
        </w:rPr>
        <w:t>2024年度阿图什市阿湖乡农村合作经济（统计）发展中心（财政所）（事业单位）公用经费支出2.25万元，比上年减少1.63万元，下降42.01%，主要原因是：本年减少办公费、邮电费，导致公用经费减少。</w:t>
      </w:r>
    </w:p>
    <w:p w14:paraId="51FAA8CB">
      <w:pPr>
        <w:spacing w:line="640" w:lineRule="exact"/>
        <w:ind w:firstLine="640"/>
        <w:jc w:val="both"/>
        <w:outlineLvl w:val="3"/>
      </w:pPr>
      <w:r>
        <w:rPr>
          <w:rFonts w:ascii="楷体_GB2312" w:hAnsi="楷体_GB2312" w:eastAsia="楷体_GB2312"/>
          <w:b/>
          <w:sz w:val="32"/>
        </w:rPr>
        <w:t>（二）政府采购情况</w:t>
      </w:r>
    </w:p>
    <w:p w14:paraId="6CC3285B">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7B4D0C0">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9F30EDF">
      <w:pPr>
        <w:spacing w:line="640" w:lineRule="exact"/>
        <w:ind w:firstLine="640"/>
        <w:jc w:val="both"/>
        <w:outlineLvl w:val="3"/>
      </w:pPr>
      <w:r>
        <w:rPr>
          <w:rFonts w:ascii="楷体_GB2312" w:hAnsi="楷体_GB2312" w:eastAsia="楷体_GB2312"/>
          <w:b/>
          <w:sz w:val="32"/>
        </w:rPr>
        <w:t>（三）国有资产占用情况说明</w:t>
      </w:r>
    </w:p>
    <w:p w14:paraId="026F39D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BFE7547">
      <w:pPr>
        <w:spacing w:line="640" w:lineRule="exact"/>
        <w:ind w:firstLine="640"/>
        <w:jc w:val="both"/>
        <w:outlineLvl w:val="2"/>
      </w:pPr>
      <w:r>
        <w:rPr>
          <w:rFonts w:ascii="黑体" w:hAnsi="黑体" w:eastAsia="黑体"/>
          <w:sz w:val="32"/>
        </w:rPr>
        <w:t>十一、预算绩效的情况说明</w:t>
      </w:r>
    </w:p>
    <w:p w14:paraId="4406671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支出。发现的问题及原因：本单位无项目绩效支出。下一步改进措施：本单位无项目绩效支出。</w:t>
      </w:r>
    </w:p>
    <w:p w14:paraId="64CC24F9">
      <w:r>
        <w:br w:type="page"/>
      </w:r>
    </w:p>
    <w:p w14:paraId="4F01C254">
      <w:pPr>
        <w:spacing w:line="640" w:lineRule="exact"/>
        <w:ind w:firstLine="640"/>
        <w:jc w:val="both"/>
        <w:outlineLvl w:val="2"/>
      </w:pPr>
      <w:r>
        <w:rPr>
          <w:rFonts w:ascii="黑体" w:hAnsi="黑体" w:eastAsia="黑体"/>
          <w:sz w:val="32"/>
        </w:rPr>
        <w:t>十二、其他需说明的事项</w:t>
      </w:r>
    </w:p>
    <w:p w14:paraId="4B58E46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70198097">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14:paraId="3F3642E4">
      <w:r>
        <w:br w:type="page"/>
      </w:r>
    </w:p>
    <w:p w14:paraId="72058EEF">
      <w:pPr>
        <w:spacing w:line="240" w:lineRule="auto"/>
        <w:jc w:val="center"/>
        <w:outlineLvl w:val="1"/>
      </w:pPr>
      <w:r>
        <w:rPr>
          <w:rFonts w:ascii="黑体" w:hAnsi="黑体" w:eastAsia="黑体"/>
          <w:sz w:val="32"/>
        </w:rPr>
        <w:t>第三部分 专业名词解释</w:t>
      </w:r>
    </w:p>
    <w:p w14:paraId="5D4ACF0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67C06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80B9A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43B9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E906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FEC8C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AB2E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CEE76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5A402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BB58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63F8B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F047DD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C82A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6DED8B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46ED6F">
      <w:r>
        <w:br w:type="page"/>
      </w:r>
    </w:p>
    <w:p w14:paraId="7FF9A585">
      <w:pPr>
        <w:spacing w:line="240" w:lineRule="auto"/>
        <w:jc w:val="center"/>
        <w:outlineLvl w:val="1"/>
      </w:pPr>
      <w:r>
        <w:rPr>
          <w:rFonts w:ascii="黑体" w:hAnsi="黑体" w:eastAsia="黑体"/>
          <w:sz w:val="32"/>
        </w:rPr>
        <w:t>第四部分 部门决算报表（见附表）</w:t>
      </w:r>
    </w:p>
    <w:p w14:paraId="4FD95E54">
      <w:pPr>
        <w:spacing w:line="240" w:lineRule="auto"/>
        <w:ind w:firstLine="640"/>
        <w:jc w:val="both"/>
      </w:pPr>
      <w:r>
        <w:rPr>
          <w:rFonts w:ascii="仿宋_GB2312" w:hAnsi="仿宋_GB2312" w:eastAsia="仿宋_GB2312"/>
          <w:b w:val="0"/>
          <w:sz w:val="32"/>
        </w:rPr>
        <w:t>一、《收入支出决算总表》</w:t>
      </w:r>
    </w:p>
    <w:p w14:paraId="6C07D377">
      <w:pPr>
        <w:spacing w:line="240" w:lineRule="auto"/>
        <w:ind w:firstLine="640"/>
        <w:jc w:val="both"/>
      </w:pPr>
      <w:r>
        <w:rPr>
          <w:rFonts w:ascii="仿宋_GB2312" w:hAnsi="仿宋_GB2312" w:eastAsia="仿宋_GB2312"/>
          <w:b w:val="0"/>
          <w:sz w:val="32"/>
        </w:rPr>
        <w:t>二、《收入决算表》</w:t>
      </w:r>
    </w:p>
    <w:p w14:paraId="01B0719F">
      <w:pPr>
        <w:spacing w:line="240" w:lineRule="auto"/>
        <w:ind w:firstLine="640"/>
        <w:jc w:val="both"/>
      </w:pPr>
      <w:r>
        <w:rPr>
          <w:rFonts w:ascii="仿宋_GB2312" w:hAnsi="仿宋_GB2312" w:eastAsia="仿宋_GB2312"/>
          <w:b w:val="0"/>
          <w:sz w:val="32"/>
        </w:rPr>
        <w:t>三、《支出决算表》</w:t>
      </w:r>
    </w:p>
    <w:p w14:paraId="53249BE0">
      <w:pPr>
        <w:spacing w:line="240" w:lineRule="auto"/>
        <w:ind w:firstLine="640"/>
        <w:jc w:val="both"/>
      </w:pPr>
      <w:r>
        <w:rPr>
          <w:rFonts w:ascii="仿宋_GB2312" w:hAnsi="仿宋_GB2312" w:eastAsia="仿宋_GB2312"/>
          <w:b w:val="0"/>
          <w:sz w:val="32"/>
        </w:rPr>
        <w:t>四、《财政拨款收入支出决算总表》</w:t>
      </w:r>
    </w:p>
    <w:p w14:paraId="5E5F5063">
      <w:pPr>
        <w:spacing w:line="240" w:lineRule="auto"/>
        <w:ind w:firstLine="640"/>
        <w:jc w:val="both"/>
      </w:pPr>
      <w:r>
        <w:rPr>
          <w:rFonts w:ascii="仿宋_GB2312" w:hAnsi="仿宋_GB2312" w:eastAsia="仿宋_GB2312"/>
          <w:b w:val="0"/>
          <w:sz w:val="32"/>
        </w:rPr>
        <w:t>五、《一般公共预算财政拨款支出决算表》</w:t>
      </w:r>
    </w:p>
    <w:p w14:paraId="5BDA864E">
      <w:pPr>
        <w:spacing w:line="240" w:lineRule="auto"/>
        <w:ind w:firstLine="640"/>
        <w:jc w:val="both"/>
      </w:pPr>
      <w:r>
        <w:rPr>
          <w:rFonts w:ascii="仿宋_GB2312" w:hAnsi="仿宋_GB2312" w:eastAsia="仿宋_GB2312"/>
          <w:b w:val="0"/>
          <w:sz w:val="32"/>
        </w:rPr>
        <w:t>六、《一般公共预算财政拨款基本支出决算表》</w:t>
      </w:r>
    </w:p>
    <w:p w14:paraId="755D36EA">
      <w:pPr>
        <w:spacing w:line="240" w:lineRule="auto"/>
        <w:ind w:firstLine="640"/>
        <w:jc w:val="both"/>
      </w:pPr>
      <w:r>
        <w:rPr>
          <w:rFonts w:ascii="仿宋_GB2312" w:hAnsi="仿宋_GB2312" w:eastAsia="仿宋_GB2312"/>
          <w:b w:val="0"/>
          <w:sz w:val="32"/>
        </w:rPr>
        <w:t>七、《政府性基金预算财政拨款收入支出决算表》</w:t>
      </w:r>
    </w:p>
    <w:p w14:paraId="38C1D1BA">
      <w:pPr>
        <w:spacing w:line="240" w:lineRule="auto"/>
        <w:ind w:firstLine="640"/>
        <w:jc w:val="both"/>
      </w:pPr>
      <w:r>
        <w:rPr>
          <w:rFonts w:ascii="仿宋_GB2312" w:hAnsi="仿宋_GB2312" w:eastAsia="仿宋_GB2312"/>
          <w:b w:val="0"/>
          <w:sz w:val="32"/>
        </w:rPr>
        <w:t>八、《国有资本经营预算财政拨款收入支出决算表》</w:t>
      </w:r>
    </w:p>
    <w:p w14:paraId="57BF56BD">
      <w:pPr>
        <w:spacing w:line="240" w:lineRule="auto"/>
        <w:ind w:firstLine="640"/>
        <w:jc w:val="both"/>
      </w:pPr>
      <w:r>
        <w:rPr>
          <w:rFonts w:ascii="仿宋_GB2312" w:hAnsi="仿宋_GB2312" w:eastAsia="仿宋_GB2312"/>
          <w:b w:val="0"/>
          <w:sz w:val="32"/>
        </w:rPr>
        <w:t>九、《财政拨款“三公”经费支出决算表》</w:t>
      </w:r>
    </w:p>
    <w:p w14:paraId="3E36F870">
      <w:pPr>
        <w:spacing w:line="240" w:lineRule="auto"/>
        <w:ind w:firstLine="640"/>
        <w:jc w:val="both"/>
      </w:pPr>
    </w:p>
    <w:p w14:paraId="2C592106">
      <w:pPr>
        <w:spacing w:line="240" w:lineRule="auto"/>
        <w:ind w:firstLine="640"/>
        <w:jc w:val="both"/>
      </w:pPr>
    </w:p>
    <w:p w14:paraId="56846529">
      <w:pPr>
        <w:spacing w:line="240" w:lineRule="auto"/>
        <w:ind w:firstLine="640"/>
        <w:jc w:val="both"/>
      </w:pPr>
    </w:p>
    <w:p w14:paraId="0A07B4F6">
      <w:pPr>
        <w:spacing w:line="240" w:lineRule="auto"/>
        <w:ind w:firstLine="640"/>
        <w:jc w:val="both"/>
      </w:pPr>
    </w:p>
    <w:p w14:paraId="425C56C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B5F6D"/>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15075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E63B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5620</Words>
  <Characters>6294</Characters>
  <Lines>0</Lines>
  <Paragraphs>0</Paragraphs>
  <TotalTime>0</TotalTime>
  <ScaleCrop>false</ScaleCrop>
  <LinksUpToDate>false</LinksUpToDate>
  <CharactersWithSpaces>6304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2025-09-08T10:01:04Z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