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A9145C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阿图什市政务服务和公共资源交易中心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DCE85A">
      <w:r>
        <w:br w:type="page"/>
      </w:r>
    </w:p>
    <w:p w14:paraId="05D5DAD9">
      <w:pPr>
        <w:spacing w:line="640" w:lineRule="exact"/>
        <w:jc w:val="center"/>
        <w:outlineLvl w:val="1"/>
      </w:pPr>
      <w:r>
        <w:rPr>
          <w:rFonts w:ascii="黑体" w:hAnsi="黑体" w:eastAsia="黑体"/>
          <w:sz w:val="32"/>
        </w:rPr>
        <w:t>第一部分 单位概况</w:t>
      </w:r>
    </w:p>
    <w:p w14:paraId="5184E322">
      <w:pPr>
        <w:spacing w:line="640" w:lineRule="exact"/>
        <w:ind w:firstLine="640"/>
        <w:jc w:val="both"/>
        <w:outlineLvl w:val="2"/>
      </w:pPr>
      <w:r>
        <w:rPr>
          <w:rFonts w:ascii="黑体" w:hAnsi="黑体" w:eastAsia="黑体"/>
          <w:sz w:val="32"/>
        </w:rPr>
        <w:t>一、主要职能</w:t>
      </w:r>
    </w:p>
    <w:p w14:paraId="5E417337">
      <w:pPr>
        <w:spacing w:line="580" w:lineRule="exact"/>
        <w:ind w:firstLine="640"/>
        <w:jc w:val="both"/>
      </w:pPr>
      <w:r>
        <w:rPr>
          <w:rFonts w:ascii="仿宋_GB2312" w:hAnsi="仿宋_GB2312" w:eastAsia="仿宋_GB2312"/>
          <w:sz w:val="32"/>
        </w:rPr>
        <w:t>1.提供场所、设施和服务‌：负责公共资源交易目录范围内项目的进场交易工作，为市场主体、社会公众等提供场所、设施和服务</w:t>
      </w:r>
      <w:r>
        <w:rPr>
          <w:rFonts w:hint="eastAsia" w:ascii="仿宋_GB2312" w:hAnsi="仿宋_GB2312" w:eastAsia="仿宋_GB2312"/>
          <w:sz w:val="32"/>
          <w:lang w:eastAsia="zh-CN"/>
        </w:rPr>
        <w:t>；</w:t>
      </w:r>
    </w:p>
    <w:p w14:paraId="30E2EE80">
      <w:pPr>
        <w:spacing w:line="580" w:lineRule="exact"/>
        <w:ind w:firstLine="640"/>
        <w:jc w:val="both"/>
      </w:pPr>
      <w:r>
        <w:rPr>
          <w:rFonts w:ascii="仿宋_GB2312" w:hAnsi="仿宋_GB2312" w:eastAsia="仿宋_GB2312"/>
          <w:sz w:val="32"/>
        </w:rPr>
        <w:t>2.组织实施公共资源交易活动‌：贯彻执行国家和省、市有关政务服务的法律、法规、规章和相关政策，负责行政审批和公共资源交易活动所需场所、设施和相应技术支持的提供，负责行政审批服务的组织实施工作</w:t>
      </w:r>
      <w:r>
        <w:rPr>
          <w:rFonts w:hint="eastAsia" w:ascii="仿宋_GB2312" w:hAnsi="仿宋_GB2312" w:eastAsia="仿宋_GB2312"/>
          <w:sz w:val="32"/>
          <w:lang w:eastAsia="zh-CN"/>
        </w:rPr>
        <w:t>；</w:t>
      </w:r>
    </w:p>
    <w:p w14:paraId="65800662">
      <w:pPr>
        <w:spacing w:line="580" w:lineRule="exact"/>
        <w:ind w:firstLine="640"/>
        <w:jc w:val="both"/>
      </w:pPr>
      <w:r>
        <w:rPr>
          <w:rFonts w:ascii="仿宋_GB2312" w:hAnsi="仿宋_GB2312" w:eastAsia="仿宋_GB2312"/>
          <w:sz w:val="32"/>
        </w:rPr>
        <w:t>3.信息化平台建设与运行‌：负责市级公共资源交易平台及信息网络系统建设运行、管理，配合相关行业部门实施交易全流程电子化‌。</w:t>
      </w:r>
    </w:p>
    <w:p w14:paraId="06502E34">
      <w:pPr>
        <w:spacing w:line="580" w:lineRule="exact"/>
        <w:ind w:firstLine="640"/>
        <w:jc w:val="both"/>
      </w:pPr>
      <w:r>
        <w:rPr>
          <w:rFonts w:ascii="仿宋_GB2312" w:hAnsi="仿宋_GB2312" w:eastAsia="仿宋_GB2312"/>
          <w:sz w:val="32"/>
        </w:rPr>
        <w:t>4.数据统计与档案管理‌：负责交易项目影音资料采集，提供见证服务；负责市行政审批和公共资源交易、信息化平台建设、运行及维护，统一发布公共资源交易公告、交易结果等相关信息；整理、保存交易过程中的相关资料，建立公共资源交易信用档案，为公共资源交易行业监管提供支持‌。‌其他服务‌：包括业务咨询、项目登记、场地安排、公告和公示信息公开、交易过程保障、资料归档、数据统计、档案查询等‌。</w:t>
      </w:r>
    </w:p>
    <w:p w14:paraId="06A810F3">
      <w:pPr>
        <w:spacing w:line="640" w:lineRule="exact"/>
        <w:ind w:firstLine="640"/>
        <w:jc w:val="both"/>
        <w:outlineLvl w:val="2"/>
      </w:pPr>
      <w:r>
        <w:rPr>
          <w:rFonts w:ascii="黑体" w:hAnsi="黑体" w:eastAsia="黑体"/>
          <w:sz w:val="32"/>
        </w:rPr>
        <w:t>二、机构设置及人员情况</w:t>
      </w:r>
    </w:p>
    <w:p w14:paraId="02220189">
      <w:pPr>
        <w:spacing w:line="580" w:lineRule="exact"/>
        <w:ind w:firstLine="640"/>
        <w:jc w:val="both"/>
      </w:pPr>
      <w:r>
        <w:rPr>
          <w:rFonts w:ascii="仿宋_GB2312" w:hAnsi="仿宋_GB2312" w:eastAsia="仿宋_GB2312"/>
          <w:sz w:val="32"/>
        </w:rPr>
        <w:t>阿图什市政务服务和公共资源交易中心2024年度，实有人数7人，其中：在职人员7人，增加0人；离休人员0人，增加0人；退休人员0人,增加0人。</w:t>
      </w:r>
    </w:p>
    <w:p w14:paraId="0FFD9AA1">
      <w:pPr>
        <w:spacing w:line="580" w:lineRule="exact"/>
        <w:ind w:firstLine="640"/>
        <w:jc w:val="both"/>
      </w:pPr>
      <w:r>
        <w:rPr>
          <w:rFonts w:ascii="仿宋_GB2312" w:hAnsi="仿宋_GB2312" w:eastAsia="仿宋_GB2312"/>
          <w:sz w:val="32"/>
        </w:rPr>
        <w:t>阿图什市政务服务和公共资源交易中心无下属预算单位，下设4个科室，分别是：政务服务室、公共资源交易室、办公室、财务室。</w:t>
      </w:r>
    </w:p>
    <w:p w14:paraId="11FD025C">
      <w:r>
        <w:br w:type="page"/>
      </w:r>
    </w:p>
    <w:p w14:paraId="52200F06">
      <w:pPr>
        <w:spacing w:line="240" w:lineRule="auto"/>
        <w:jc w:val="center"/>
        <w:outlineLvl w:val="1"/>
      </w:pPr>
      <w:r>
        <w:rPr>
          <w:rFonts w:ascii="黑体" w:hAnsi="黑体" w:eastAsia="黑体"/>
          <w:sz w:val="32"/>
        </w:rPr>
        <w:t>第二部分 部门决算情况说明</w:t>
      </w:r>
    </w:p>
    <w:p w14:paraId="3317A159">
      <w:pPr>
        <w:spacing w:line="640" w:lineRule="exact"/>
        <w:ind w:firstLine="640"/>
        <w:jc w:val="both"/>
        <w:outlineLvl w:val="2"/>
      </w:pPr>
      <w:r>
        <w:rPr>
          <w:rFonts w:ascii="黑体" w:hAnsi="黑体" w:eastAsia="黑体"/>
          <w:sz w:val="32"/>
        </w:rPr>
        <w:t>一、收入支出决算总体情况说明</w:t>
      </w:r>
    </w:p>
    <w:p w14:paraId="2C25D2DC">
      <w:pPr>
        <w:spacing w:line="580" w:lineRule="exact"/>
        <w:ind w:firstLine="640"/>
        <w:jc w:val="both"/>
      </w:pPr>
      <w:r>
        <w:rPr>
          <w:rFonts w:ascii="仿宋_GB2312" w:hAnsi="仿宋_GB2312" w:eastAsia="仿宋_GB2312"/>
          <w:b/>
          <w:sz w:val="32"/>
        </w:rPr>
        <w:t>2024年度收入总计129.66万元，</w:t>
      </w:r>
      <w:r>
        <w:rPr>
          <w:rFonts w:ascii="仿宋_GB2312" w:hAnsi="仿宋_GB2312" w:eastAsia="仿宋_GB2312"/>
          <w:b w:val="0"/>
          <w:sz w:val="32"/>
        </w:rPr>
        <w:t>其中：本年收入合计129.66万元，使用非财政拨款结余（含专用结余）0.00万元，年初结转和结余0.00万元。</w:t>
      </w:r>
    </w:p>
    <w:p w14:paraId="183FC612">
      <w:pPr>
        <w:spacing w:line="580" w:lineRule="exact"/>
        <w:ind w:firstLine="640"/>
        <w:jc w:val="both"/>
      </w:pPr>
      <w:r>
        <w:rPr>
          <w:rFonts w:ascii="仿宋_GB2312" w:hAnsi="仿宋_GB2312" w:eastAsia="仿宋_GB2312"/>
          <w:b/>
          <w:sz w:val="32"/>
        </w:rPr>
        <w:t>2024年度支出总计129.66万元，</w:t>
      </w:r>
      <w:r>
        <w:rPr>
          <w:rFonts w:ascii="仿宋_GB2312" w:hAnsi="仿宋_GB2312" w:eastAsia="仿宋_GB2312"/>
          <w:b w:val="0"/>
          <w:sz w:val="32"/>
        </w:rPr>
        <w:t>其中：本年支出合计129.66万元，结余分配0.00万元，年末结转和结余0.00万元。</w:t>
      </w:r>
    </w:p>
    <w:p w14:paraId="6D079A2A">
      <w:pPr>
        <w:spacing w:line="580" w:lineRule="exact"/>
        <w:ind w:firstLine="640"/>
        <w:jc w:val="both"/>
      </w:pPr>
      <w:r>
        <w:rPr>
          <w:rFonts w:ascii="仿宋_GB2312" w:hAnsi="仿宋_GB2312" w:eastAsia="仿宋_GB2312"/>
          <w:b w:val="0"/>
          <w:sz w:val="32"/>
        </w:rPr>
        <w:t>收入支出总体与上年相比，减少3.78万元，下降2.83%，主要原因是：本年减少信息网络及软件购置更新经费，导致相关经费减少。</w:t>
      </w:r>
    </w:p>
    <w:p w14:paraId="06C30DEB">
      <w:pPr>
        <w:spacing w:line="640" w:lineRule="exact"/>
        <w:ind w:firstLine="640"/>
        <w:jc w:val="both"/>
        <w:outlineLvl w:val="2"/>
      </w:pPr>
      <w:r>
        <w:rPr>
          <w:rFonts w:ascii="黑体" w:hAnsi="黑体" w:eastAsia="黑体"/>
          <w:sz w:val="32"/>
        </w:rPr>
        <w:t>二、收入决算情况说明</w:t>
      </w:r>
    </w:p>
    <w:p w14:paraId="4132DE88">
      <w:pPr>
        <w:spacing w:line="580" w:lineRule="exact"/>
        <w:ind w:firstLine="640"/>
        <w:jc w:val="both"/>
      </w:pPr>
      <w:r>
        <w:rPr>
          <w:rFonts w:ascii="仿宋_GB2312" w:hAnsi="仿宋_GB2312" w:eastAsia="仿宋_GB2312"/>
          <w:b/>
          <w:sz w:val="32"/>
        </w:rPr>
        <w:t>本年收入129.66万元，</w:t>
      </w:r>
      <w:r>
        <w:rPr>
          <w:rFonts w:ascii="仿宋_GB2312" w:hAnsi="仿宋_GB2312" w:eastAsia="仿宋_GB2312"/>
          <w:b w:val="0"/>
          <w:sz w:val="32"/>
        </w:rPr>
        <w:t>其中：财政拨款收入129.66万元，占100.00%；上级补助收入0.00万元，占0.00%；事业收入0.00万元，占0.00%；经营收入0.00万元，占0.00%；附属单位上缴收入0.00万元，占0.00%；其他收入0.00万元，占0.00%。</w:t>
      </w:r>
    </w:p>
    <w:p w14:paraId="69D1003D">
      <w:pPr>
        <w:spacing w:line="640" w:lineRule="exact"/>
        <w:ind w:firstLine="640"/>
        <w:jc w:val="both"/>
        <w:outlineLvl w:val="2"/>
      </w:pPr>
      <w:r>
        <w:rPr>
          <w:rFonts w:ascii="黑体" w:hAnsi="黑体" w:eastAsia="黑体"/>
          <w:sz w:val="32"/>
        </w:rPr>
        <w:t>三、支出决算情况说明</w:t>
      </w:r>
    </w:p>
    <w:p w14:paraId="5DAD7C0D">
      <w:pPr>
        <w:spacing w:line="580" w:lineRule="exact"/>
        <w:ind w:firstLine="640"/>
        <w:jc w:val="both"/>
      </w:pPr>
      <w:r>
        <w:rPr>
          <w:rFonts w:ascii="仿宋_GB2312" w:hAnsi="仿宋_GB2312" w:eastAsia="仿宋_GB2312"/>
          <w:b/>
          <w:sz w:val="32"/>
        </w:rPr>
        <w:t>本年支出129.66万元，</w:t>
      </w:r>
      <w:r>
        <w:rPr>
          <w:rFonts w:ascii="仿宋_GB2312" w:hAnsi="仿宋_GB2312" w:eastAsia="仿宋_GB2312"/>
          <w:b w:val="0"/>
          <w:sz w:val="32"/>
        </w:rPr>
        <w:t>其中：基本支出129.66万元，占100.00%；项目支出0.00万元，占0.00%；上缴上级支出0.00万元，占0.00%；经营支出0.00万元，占0.00%；对附属单位补助支出0.00万元，占0.00%。</w:t>
      </w:r>
    </w:p>
    <w:p w14:paraId="146B766B">
      <w:pPr>
        <w:spacing w:line="640" w:lineRule="exact"/>
        <w:ind w:firstLine="640"/>
        <w:jc w:val="both"/>
        <w:outlineLvl w:val="2"/>
      </w:pPr>
      <w:r>
        <w:rPr>
          <w:rFonts w:ascii="黑体" w:hAnsi="黑体" w:eastAsia="黑体"/>
          <w:sz w:val="32"/>
        </w:rPr>
        <w:t>四、财政拨款收入支出决算总体情况说明</w:t>
      </w:r>
    </w:p>
    <w:p w14:paraId="4AEC8089">
      <w:pPr>
        <w:spacing w:line="580" w:lineRule="exact"/>
        <w:ind w:firstLine="640"/>
        <w:jc w:val="both"/>
      </w:pPr>
      <w:r>
        <w:rPr>
          <w:rFonts w:ascii="仿宋_GB2312" w:hAnsi="仿宋_GB2312" w:eastAsia="仿宋_GB2312"/>
          <w:b/>
          <w:sz w:val="32"/>
        </w:rPr>
        <w:t>2024年度财政拨款收入总计129.66万元，</w:t>
      </w:r>
      <w:r>
        <w:rPr>
          <w:rFonts w:ascii="仿宋_GB2312" w:hAnsi="仿宋_GB2312" w:eastAsia="仿宋_GB2312"/>
          <w:b w:val="0"/>
          <w:sz w:val="32"/>
        </w:rPr>
        <w:t>其中：年初财政拨款结转和结余0.00万元，本年财政拨款收入129.66万元。</w:t>
      </w:r>
      <w:r>
        <w:rPr>
          <w:rFonts w:ascii="仿宋_GB2312" w:hAnsi="仿宋_GB2312" w:eastAsia="仿宋_GB2312"/>
          <w:b/>
          <w:sz w:val="32"/>
        </w:rPr>
        <w:t>财政拨款支出总计129.66万元，</w:t>
      </w:r>
      <w:r>
        <w:rPr>
          <w:rFonts w:ascii="仿宋_GB2312" w:hAnsi="仿宋_GB2312" w:eastAsia="仿宋_GB2312"/>
          <w:b w:val="0"/>
          <w:sz w:val="32"/>
        </w:rPr>
        <w:t>其中：年末财政拨款结转和结余0.00万元，本年财政拨款支出129.66万元。</w:t>
      </w:r>
    </w:p>
    <w:p w14:paraId="49B05F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减少3.74万元，下降2.80%，主要原因是：本年减少信息网络及软件购置更新经费，导致相关经费减少。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年初预算数176.53万元，决算数129.66万元，预决算差异率-26.55%，主要原因是：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2024度交易中心场所维护及招投标设备采购运行维护费，导致预决算存在差异。</w:t>
      </w:r>
    </w:p>
    <w:p w14:paraId="7B6A2558">
      <w:pPr>
        <w:spacing w:line="640" w:lineRule="exact"/>
        <w:ind w:firstLine="640"/>
        <w:jc w:val="both"/>
        <w:outlineLvl w:val="2"/>
      </w:pPr>
      <w:r>
        <w:rPr>
          <w:rFonts w:ascii="黑体" w:hAnsi="黑体" w:eastAsia="黑体"/>
          <w:sz w:val="32"/>
        </w:rPr>
        <w:t>五、一般公共预算财政拨款支出决算情况说明</w:t>
      </w:r>
    </w:p>
    <w:p w14:paraId="340FE76C">
      <w:pPr>
        <w:spacing w:line="640" w:lineRule="exact"/>
        <w:ind w:firstLine="640"/>
        <w:jc w:val="both"/>
        <w:outlineLvl w:val="3"/>
      </w:pPr>
      <w:r>
        <w:rPr>
          <w:rFonts w:ascii="楷体_GB2312" w:hAnsi="楷体_GB2312" w:eastAsia="楷体_GB2312"/>
          <w:b/>
          <w:sz w:val="32"/>
        </w:rPr>
        <w:t>（一）一般公共预算财政拨款支出决算总体情况</w:t>
      </w:r>
    </w:p>
    <w:p w14:paraId="4BE152A7">
      <w:pPr>
        <w:spacing w:line="580" w:lineRule="exact"/>
        <w:ind w:firstLine="640"/>
        <w:jc w:val="both"/>
      </w:pPr>
      <w:r>
        <w:rPr>
          <w:rFonts w:ascii="仿宋_GB2312" w:hAnsi="仿宋_GB2312" w:eastAsia="仿宋_GB2312"/>
          <w:b/>
          <w:sz w:val="32"/>
        </w:rPr>
        <w:t>2024年度一般公共预算财政拨款支出129.66万元，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减少3.74万元，下降2.80%，主要原因是：本年减少信息网络及软件购置更新经费，导致相关经费减少。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年初预算数176.53万元，决算数129.66万元，预决算差异率-26.55%，主要原因是：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2024度交易中心场所维护及招投标设备采购运行维护费，导致预决算存在差异。</w:t>
      </w:r>
    </w:p>
    <w:p w14:paraId="732D7BEB">
      <w:pPr>
        <w:spacing w:line="640" w:lineRule="exact"/>
        <w:ind w:firstLine="640"/>
        <w:jc w:val="both"/>
        <w:outlineLvl w:val="3"/>
      </w:pPr>
      <w:r>
        <w:rPr>
          <w:rFonts w:ascii="楷体_GB2312" w:hAnsi="楷体_GB2312" w:eastAsia="楷体_GB2312"/>
          <w:b/>
          <w:sz w:val="32"/>
        </w:rPr>
        <w:t>（二）一般公共预算财政拨款支出决算结构情况</w:t>
      </w:r>
    </w:p>
    <w:p w14:paraId="213E92AD">
      <w:pPr>
        <w:spacing w:line="580" w:lineRule="exact"/>
        <w:ind w:firstLine="640"/>
        <w:jc w:val="both"/>
      </w:pPr>
      <w:r>
        <w:rPr>
          <w:rFonts w:ascii="仿宋_GB2312" w:hAnsi="仿宋_GB2312" w:eastAsia="仿宋_GB2312"/>
          <w:b w:val="0"/>
          <w:sz w:val="32"/>
        </w:rPr>
        <w:t>1.一般公共服务支出(类)105.08万元,占81.04%。</w:t>
      </w:r>
    </w:p>
    <w:p w14:paraId="4B9ED801">
      <w:pPr>
        <w:spacing w:line="580" w:lineRule="exact"/>
        <w:ind w:firstLine="640"/>
        <w:jc w:val="both"/>
      </w:pPr>
      <w:r>
        <w:rPr>
          <w:rFonts w:ascii="仿宋_GB2312" w:hAnsi="仿宋_GB2312" w:eastAsia="仿宋_GB2312"/>
          <w:b w:val="0"/>
          <w:sz w:val="32"/>
        </w:rPr>
        <w:t>2.社会保障和就业支出(类)11.70万元,占9.02%。</w:t>
      </w:r>
    </w:p>
    <w:p w14:paraId="42738B95">
      <w:pPr>
        <w:spacing w:line="580" w:lineRule="exact"/>
        <w:ind w:firstLine="640"/>
        <w:jc w:val="both"/>
      </w:pPr>
      <w:r>
        <w:rPr>
          <w:rFonts w:ascii="仿宋_GB2312" w:hAnsi="仿宋_GB2312" w:eastAsia="仿宋_GB2312"/>
          <w:b w:val="0"/>
          <w:sz w:val="32"/>
        </w:rPr>
        <w:t>3.卫生健康支出(类)3.54万元,占2.73%。</w:t>
      </w:r>
    </w:p>
    <w:p w14:paraId="73A72EE3">
      <w:pPr>
        <w:spacing w:line="580" w:lineRule="exact"/>
        <w:ind w:firstLine="640"/>
        <w:jc w:val="both"/>
      </w:pPr>
      <w:r>
        <w:rPr>
          <w:rFonts w:ascii="仿宋_GB2312" w:hAnsi="仿宋_GB2312" w:eastAsia="仿宋_GB2312"/>
          <w:b w:val="0"/>
          <w:sz w:val="32"/>
        </w:rPr>
        <w:t>4.住房保障支出(类)9.35万元,占7.21%。</w:t>
      </w:r>
    </w:p>
    <w:p w14:paraId="6723A822">
      <w:pPr>
        <w:spacing w:line="640" w:lineRule="exact"/>
        <w:ind w:firstLine="640"/>
        <w:jc w:val="both"/>
        <w:outlineLvl w:val="3"/>
      </w:pPr>
      <w:r>
        <w:rPr>
          <w:rFonts w:ascii="楷体_GB2312" w:hAnsi="楷体_GB2312" w:eastAsia="楷体_GB2312"/>
          <w:b/>
          <w:sz w:val="32"/>
        </w:rPr>
        <w:t>（三）一般公共预算财政拨款支出决算具体情况</w:t>
      </w:r>
    </w:p>
    <w:p w14:paraId="147C3F02">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1.一般公共服务支出(类)政府办公厅（室）及相关机构事务(款)事业运行(项):支出决算数为104.45万元，比上年决算减少28.95万元，下降21.70%,主要原因是：本年减少信息网络及软件购置更新经费，导致相关经费减少。</w:t>
      </w:r>
    </w:p>
    <w:p w14:paraId="271E3A32">
      <w:pPr>
        <w:spacing w:line="580" w:lineRule="exact"/>
        <w:ind w:firstLine="640"/>
        <w:jc w:val="both"/>
      </w:pPr>
      <w:r>
        <w:rPr>
          <w:rFonts w:ascii="仿宋_GB2312" w:hAnsi="仿宋_GB2312" w:eastAsia="仿宋_GB2312"/>
          <w:b w:val="0"/>
          <w:sz w:val="32"/>
        </w:rPr>
        <w:t>2.一般公共服务支出(类)宣传事务(款)事业运行(项):支出决算数为0.63万元，比上年决算增加0.63万元，增长100.00%,主要原因是：本年增加宣传事务奖金支出，导致相关经费增加。</w:t>
      </w:r>
    </w:p>
    <w:p w14:paraId="0E23E0F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11.70万元，比上年决算增加11.70万元，增长100.00%,主要原因是：本年功能科目调整，养老保险缴费上年度在主科目列支，本年单独列支，导致经费较上年增加。</w:t>
      </w:r>
    </w:p>
    <w:p w14:paraId="5DDB15AB">
      <w:pPr>
        <w:spacing w:line="580" w:lineRule="exact"/>
        <w:ind w:firstLine="640"/>
        <w:jc w:val="both"/>
      </w:pPr>
      <w:r>
        <w:rPr>
          <w:rFonts w:ascii="仿宋_GB2312" w:hAnsi="仿宋_GB2312" w:eastAsia="仿宋_GB2312"/>
          <w:b w:val="0"/>
          <w:sz w:val="32"/>
        </w:rPr>
        <w:t>4.卫生健康支出(类)行政事业单位医疗(款)事业单位医疗(项):支出决算数为3.54万元，比上年决算增加3.54万元，增长100.00%,主要原因是：本年功能科目调整，事业单位医疗支出上年度在主科目列支，本年单独列支，导致经费较上年增加。</w:t>
      </w:r>
    </w:p>
    <w:p w14:paraId="001A38D4">
      <w:pPr>
        <w:spacing w:line="580" w:lineRule="exact"/>
        <w:ind w:firstLine="640"/>
        <w:jc w:val="both"/>
      </w:pPr>
      <w:r>
        <w:rPr>
          <w:rFonts w:ascii="仿宋_GB2312" w:hAnsi="仿宋_GB2312" w:eastAsia="仿宋_GB2312"/>
          <w:b w:val="0"/>
          <w:sz w:val="32"/>
        </w:rPr>
        <w:t>5.住房保障支出(类)住房改革支出(款)住房公积金(项):支出决算数为9.35万元，比上年决算增加9.35万元，增长100.00%,主要原因是：本年功能科目调整，住房公积金上年度在主科目列支，本年单独列支，导致经费较上年增加。</w:t>
      </w:r>
    </w:p>
    <w:p w14:paraId="68F194F8">
      <w:pPr>
        <w:spacing w:line="640" w:lineRule="exact"/>
        <w:ind w:firstLine="640"/>
        <w:jc w:val="both"/>
        <w:outlineLvl w:val="2"/>
      </w:pPr>
      <w:r>
        <w:rPr>
          <w:rFonts w:ascii="黑体" w:hAnsi="黑体" w:eastAsia="黑体"/>
          <w:sz w:val="32"/>
        </w:rPr>
        <w:t>六、一般公共预算财政拨款基本支出决算情况说明</w:t>
      </w:r>
    </w:p>
    <w:p w14:paraId="18F1FC4F">
      <w:pPr>
        <w:spacing w:line="580" w:lineRule="exact"/>
        <w:ind w:firstLine="640"/>
        <w:jc w:val="both"/>
      </w:pPr>
      <w:r>
        <w:rPr>
          <w:rFonts w:ascii="仿宋_GB2312" w:hAnsi="仿宋_GB2312" w:eastAsia="仿宋_GB2312"/>
          <w:b w:val="0"/>
          <w:sz w:val="32"/>
        </w:rPr>
        <w:t>2024年度一般公共预算财政拨款基本支出129.66万元，其中：</w:t>
      </w:r>
      <w:r>
        <w:rPr>
          <w:rFonts w:ascii="仿宋_GB2312" w:hAnsi="仿宋_GB2312" w:eastAsia="仿宋_GB2312"/>
          <w:b/>
          <w:sz w:val="32"/>
        </w:rPr>
        <w:t>人员经费114.33万元，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1AFAB12D">
      <w:pPr>
        <w:spacing w:line="580" w:lineRule="exact"/>
        <w:ind w:firstLine="640"/>
        <w:jc w:val="both"/>
      </w:pPr>
      <w:r>
        <w:rPr>
          <w:rFonts w:ascii="仿宋_GB2312" w:hAnsi="仿宋_GB2312" w:eastAsia="仿宋_GB2312"/>
          <w:b/>
          <w:sz w:val="32"/>
        </w:rPr>
        <w:t>公用经费15.34万元，</w:t>
      </w:r>
      <w:r>
        <w:rPr>
          <w:rFonts w:ascii="仿宋_GB2312" w:hAnsi="仿宋_GB2312" w:eastAsia="仿宋_GB2312"/>
          <w:b w:val="0"/>
          <w:sz w:val="32"/>
        </w:rPr>
        <w:t>包括：办公费。</w:t>
      </w:r>
    </w:p>
    <w:p w14:paraId="6842EF9B">
      <w:pPr>
        <w:spacing w:line="640" w:lineRule="exact"/>
        <w:ind w:firstLine="640"/>
        <w:jc w:val="both"/>
        <w:outlineLvl w:val="2"/>
      </w:pPr>
      <w:r>
        <w:rPr>
          <w:rFonts w:ascii="黑体" w:hAnsi="黑体" w:eastAsia="黑体"/>
          <w:sz w:val="32"/>
        </w:rPr>
        <w:t>七、政府性基金预算财政拨款收入支出决算情况说明</w:t>
      </w:r>
    </w:p>
    <w:p w14:paraId="7838BCD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D1D5CB">
      <w:pPr>
        <w:spacing w:line="640" w:lineRule="exact"/>
        <w:ind w:firstLine="640"/>
        <w:jc w:val="both"/>
        <w:outlineLvl w:val="2"/>
      </w:pPr>
      <w:r>
        <w:rPr>
          <w:rFonts w:ascii="黑体" w:hAnsi="黑体" w:eastAsia="黑体"/>
          <w:sz w:val="32"/>
        </w:rPr>
        <w:t>八、国有资本经营预算财政拨款收入支出决算情况说明</w:t>
      </w:r>
    </w:p>
    <w:p w14:paraId="4038080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5A4992">
      <w:pPr>
        <w:spacing w:line="640" w:lineRule="exact"/>
        <w:ind w:firstLine="640"/>
        <w:jc w:val="both"/>
        <w:outlineLvl w:val="2"/>
      </w:pPr>
      <w:r>
        <w:rPr>
          <w:rFonts w:ascii="黑体" w:hAnsi="黑体" w:eastAsia="黑体"/>
          <w:sz w:val="32"/>
        </w:rPr>
        <w:t>九、财政拨款“三公”经费支出决算情况说明</w:t>
      </w:r>
    </w:p>
    <w:p w14:paraId="6E02611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4D9AA3">
      <w:pPr>
        <w:spacing w:line="580" w:lineRule="exact"/>
        <w:ind w:firstLine="640"/>
        <w:jc w:val="both"/>
      </w:pPr>
      <w:r>
        <w:rPr>
          <w:rFonts w:ascii="仿宋_GB2312" w:hAnsi="仿宋_GB2312" w:eastAsia="仿宋_GB2312"/>
          <w:b/>
          <w:sz w:val="32"/>
        </w:rPr>
        <w:t>具体情况如下：</w:t>
      </w:r>
    </w:p>
    <w:p w14:paraId="728AED4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DD891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935ACE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D4C7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0435F1D">
      <w:pPr>
        <w:spacing w:line="640" w:lineRule="exact"/>
        <w:ind w:firstLine="640"/>
        <w:jc w:val="both"/>
        <w:outlineLvl w:val="2"/>
      </w:pPr>
      <w:r>
        <w:rPr>
          <w:rFonts w:ascii="黑体" w:hAnsi="黑体" w:eastAsia="黑体"/>
          <w:sz w:val="32"/>
        </w:rPr>
        <w:t>十、其他重要事项的情况说明</w:t>
      </w:r>
    </w:p>
    <w:p w14:paraId="4BDCDFCD">
      <w:pPr>
        <w:spacing w:line="640" w:lineRule="exact"/>
        <w:ind w:firstLine="640"/>
        <w:jc w:val="both"/>
        <w:outlineLvl w:val="3"/>
      </w:pPr>
      <w:r>
        <w:rPr>
          <w:rFonts w:ascii="楷体_GB2312" w:hAnsi="楷体_GB2312" w:eastAsia="楷体_GB2312"/>
          <w:b/>
          <w:sz w:val="32"/>
        </w:rPr>
        <w:t>（一）机关运行经费及公用经费支出情况</w:t>
      </w:r>
    </w:p>
    <w:p w14:paraId="3D5DC17C">
      <w:pPr>
        <w:spacing w:line="580" w:lineRule="exact"/>
        <w:ind w:firstLine="640"/>
        <w:jc w:val="both"/>
      </w:pPr>
      <w:r>
        <w:rPr>
          <w:rFonts w:ascii="仿宋_GB2312" w:hAnsi="仿宋_GB2312" w:eastAsia="仿宋_GB2312"/>
          <w:b w:val="0"/>
          <w:sz w:val="32"/>
        </w:rPr>
        <w:t>2024年度阿图什市政务服务和公共资源交易中心（事业单位）公用经费支出15.34万元，比上年减少5.24万元，下降25.46%，主要原因是：严格控制公用经费，合理节约办公用品，减少信息网络及软件购置更新经费。</w:t>
      </w:r>
    </w:p>
    <w:p w14:paraId="3E45BAE4">
      <w:pPr>
        <w:spacing w:line="640" w:lineRule="exact"/>
        <w:ind w:firstLine="640"/>
        <w:jc w:val="both"/>
        <w:outlineLvl w:val="3"/>
      </w:pPr>
      <w:r>
        <w:rPr>
          <w:rFonts w:ascii="楷体_GB2312" w:hAnsi="楷体_GB2312" w:eastAsia="楷体_GB2312"/>
          <w:b/>
          <w:sz w:val="32"/>
        </w:rPr>
        <w:t>（二）政府采购情况</w:t>
      </w:r>
    </w:p>
    <w:p w14:paraId="22ECB419">
      <w:pPr>
        <w:spacing w:line="580" w:lineRule="exact"/>
        <w:ind w:firstLine="640"/>
        <w:jc w:val="both"/>
      </w:pPr>
      <w:r>
        <w:rPr>
          <w:rFonts w:ascii="仿宋_GB2312" w:hAnsi="仿宋_GB2312" w:eastAsia="仿宋_GB2312"/>
          <w:b w:val="0"/>
          <w:sz w:val="32"/>
        </w:rPr>
        <w:t>2024年度政府采购支出总额9.20万元，其中：政府采购货物支出3.16万元、政府采购工程支出0.00万元、政府采购服务支出6.04万元。</w:t>
      </w:r>
    </w:p>
    <w:p w14:paraId="57FECE25">
      <w:pPr>
        <w:spacing w:line="580" w:lineRule="exact"/>
        <w:ind w:firstLine="640"/>
        <w:jc w:val="both"/>
      </w:pPr>
      <w:r>
        <w:rPr>
          <w:rFonts w:ascii="仿宋_GB2312" w:hAnsi="仿宋_GB2312" w:eastAsia="仿宋_GB2312"/>
          <w:b w:val="0"/>
          <w:sz w:val="32"/>
        </w:rPr>
        <w:t>授予中小企业合同金额9.20万元，占政府采购支出总额的100.00%，其中：授予小微企业合同金额8.13万元，占政府采购支出总额的88.37%。</w:t>
      </w:r>
    </w:p>
    <w:p w14:paraId="73E6DF75">
      <w:pPr>
        <w:spacing w:line="640" w:lineRule="exact"/>
        <w:ind w:firstLine="640"/>
        <w:jc w:val="both"/>
        <w:outlineLvl w:val="3"/>
      </w:pPr>
      <w:r>
        <w:rPr>
          <w:rFonts w:ascii="楷体_GB2312" w:hAnsi="楷体_GB2312" w:eastAsia="楷体_GB2312"/>
          <w:b/>
          <w:sz w:val="32"/>
        </w:rPr>
        <w:t>（三）国有资产占用情况说明</w:t>
      </w:r>
    </w:p>
    <w:p w14:paraId="6935896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21D723">
      <w:pPr>
        <w:spacing w:line="640" w:lineRule="exact"/>
        <w:ind w:firstLine="640"/>
        <w:jc w:val="both"/>
        <w:outlineLvl w:val="2"/>
      </w:pPr>
      <w:r>
        <w:rPr>
          <w:rFonts w:ascii="黑体" w:hAnsi="黑体" w:eastAsia="黑体"/>
          <w:sz w:val="32"/>
        </w:rPr>
        <w:t>十一、预算绩效的情况说明</w:t>
      </w:r>
    </w:p>
    <w:p w14:paraId="25E6C5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129.66万元，实际执行总额129.66万元；预算绩效评价项目1个，全年预算数45.00万元，全年执行数14.75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完善预算管理体制，严格按照财政部门要求编制部门预算，合理确定收入来源，努力提高预算透明度；二是加强对资金收支的跟踪监督，使每项资金更加合理有效使用；三是加强培训，提高本单位工作人员的绩效管理能力和工作水平，为预算绩效管理相关工作的顺利开展提供保障。具体附整体支出绩效自评表，项目支出绩效自评表和评价报告。</w:t>
      </w:r>
    </w:p>
    <w:p w14:paraId="4623110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9F38EB1">
        <w:tblPrEx>
          <w:tblCellMar>
            <w:top w:w="0" w:type="dxa"/>
            <w:left w:w="108" w:type="dxa"/>
            <w:bottom w:w="0" w:type="dxa"/>
            <w:right w:w="108" w:type="dxa"/>
          </w:tblCellMar>
        </w:tblPrEx>
        <w:tc>
          <w:tcPr>
            <w:tcW w:w="8840" w:type="dxa"/>
            <w:gridSpan w:val="8"/>
            <w:vAlign w:val="center"/>
          </w:tcPr>
          <w:p w14:paraId="2223648D">
            <w:pPr>
              <w:jc w:val="center"/>
            </w:pPr>
            <w:r>
              <w:rPr>
                <w:rFonts w:ascii="宋体" w:hAnsi="宋体" w:eastAsia="宋体"/>
                <w:sz w:val="24"/>
              </w:rPr>
              <w:t>单位整体支出绩效自评表</w:t>
            </w:r>
          </w:p>
        </w:tc>
      </w:tr>
      <w:tr w14:paraId="65AA5C7F">
        <w:tblPrEx>
          <w:tblCellMar>
            <w:top w:w="0" w:type="dxa"/>
            <w:left w:w="108" w:type="dxa"/>
            <w:bottom w:w="0" w:type="dxa"/>
            <w:right w:w="108" w:type="dxa"/>
          </w:tblCellMar>
        </w:tblPrEx>
        <w:tc>
          <w:tcPr>
            <w:tcW w:w="8840" w:type="dxa"/>
            <w:gridSpan w:val="8"/>
            <w:vAlign w:val="center"/>
          </w:tcPr>
          <w:p w14:paraId="6D127F03">
            <w:pPr>
              <w:jc w:val="center"/>
            </w:pPr>
            <w:r>
              <w:rPr>
                <w:rFonts w:ascii="宋体" w:hAnsi="宋体" w:eastAsia="宋体"/>
                <w:sz w:val="24"/>
              </w:rPr>
              <w:t>（2024年度）</w:t>
            </w:r>
          </w:p>
        </w:tc>
      </w:tr>
      <w:tr w14:paraId="380A8D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CB1E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D40CD">
            <w:pPr>
              <w:jc w:val="center"/>
            </w:pPr>
            <w:r>
              <w:rPr>
                <w:rFonts w:ascii="宋体" w:hAnsi="宋体" w:eastAsia="宋体"/>
                <w:sz w:val="16"/>
              </w:rPr>
              <w:t>阿图什市政务服务和公共资源交易中心</w:t>
            </w:r>
          </w:p>
        </w:tc>
      </w:tr>
      <w:tr w14:paraId="1503178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1FED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E5F5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DA21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6A68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F4C3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A4F2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E45E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74488">
            <w:pPr>
              <w:jc w:val="center"/>
            </w:pPr>
            <w:r>
              <w:rPr>
                <w:rFonts w:ascii="宋体" w:hAnsi="宋体" w:eastAsia="宋体"/>
                <w:sz w:val="16"/>
              </w:rPr>
              <w:t>得分</w:t>
            </w:r>
          </w:p>
        </w:tc>
      </w:tr>
      <w:tr w14:paraId="7120E9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8CA2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36D1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8D70E">
            <w:pPr>
              <w:jc w:val="center"/>
            </w:pPr>
            <w:r>
              <w:rPr>
                <w:rFonts w:ascii="宋体" w:hAnsi="宋体" w:eastAsia="宋体"/>
                <w:sz w:val="16"/>
              </w:rPr>
              <w:t>176.52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FC0A1">
            <w:pPr>
              <w:jc w:val="center"/>
            </w:pPr>
            <w:r>
              <w:rPr>
                <w:rFonts w:ascii="宋体" w:hAnsi="宋体" w:eastAsia="宋体"/>
                <w:sz w:val="16"/>
              </w:rPr>
              <w:t>129.66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BD0B2">
            <w:pPr>
              <w:jc w:val="center"/>
            </w:pPr>
            <w:r>
              <w:rPr>
                <w:rFonts w:ascii="宋体" w:hAnsi="宋体" w:eastAsia="宋体"/>
                <w:sz w:val="16"/>
              </w:rPr>
              <w:t>129.66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84A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D52E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50FD2">
            <w:pPr>
              <w:jc w:val="center"/>
              <w:rPr>
                <w:rFonts w:hint="default" w:eastAsia="宋体"/>
                <w:lang w:val="en-US" w:eastAsia="zh-CN"/>
              </w:rPr>
            </w:pPr>
            <w:r>
              <w:rPr>
                <w:rFonts w:hint="eastAsia" w:ascii="宋体" w:hAnsi="宋体"/>
                <w:sz w:val="16"/>
                <w:lang w:val="en-US" w:eastAsia="zh-CN"/>
              </w:rPr>
              <w:t>10</w:t>
            </w:r>
          </w:p>
        </w:tc>
      </w:tr>
      <w:tr w14:paraId="17E4CC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D37B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5C8C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9A86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FA1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E23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A37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D4F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29A1C">
            <w:pPr>
              <w:jc w:val="center"/>
            </w:pPr>
            <w:r>
              <w:rPr>
                <w:rFonts w:ascii="宋体" w:hAnsi="宋体" w:eastAsia="宋体"/>
                <w:sz w:val="16"/>
              </w:rPr>
              <w:t>—</w:t>
            </w:r>
          </w:p>
        </w:tc>
      </w:tr>
      <w:tr w14:paraId="19005B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0AEC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E015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6FA90">
            <w:pPr>
              <w:jc w:val="center"/>
            </w:pPr>
            <w:r>
              <w:rPr>
                <w:rFonts w:ascii="宋体" w:hAnsi="宋体" w:eastAsia="宋体"/>
                <w:sz w:val="16"/>
              </w:rPr>
              <w:t>176.52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87C67">
            <w:pPr>
              <w:jc w:val="center"/>
            </w:pPr>
            <w:r>
              <w:rPr>
                <w:rFonts w:ascii="宋体" w:hAnsi="宋体" w:eastAsia="宋体"/>
                <w:sz w:val="16"/>
              </w:rPr>
              <w:t>129.66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E2130">
            <w:pPr>
              <w:jc w:val="center"/>
            </w:pPr>
            <w:r>
              <w:rPr>
                <w:rFonts w:ascii="宋体" w:hAnsi="宋体" w:eastAsia="宋体"/>
                <w:sz w:val="16"/>
              </w:rPr>
              <w:t>129.66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527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A83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0C03A">
            <w:pPr>
              <w:jc w:val="center"/>
            </w:pPr>
            <w:r>
              <w:rPr>
                <w:rFonts w:ascii="宋体" w:hAnsi="宋体" w:eastAsia="宋体"/>
                <w:sz w:val="16"/>
              </w:rPr>
              <w:t>—</w:t>
            </w:r>
          </w:p>
        </w:tc>
      </w:tr>
      <w:tr w14:paraId="297EFE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F291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D52B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C1F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2089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2894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73A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819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8CEE6">
            <w:pPr>
              <w:jc w:val="center"/>
            </w:pPr>
            <w:r>
              <w:rPr>
                <w:rFonts w:ascii="宋体" w:hAnsi="宋体" w:eastAsia="宋体"/>
                <w:sz w:val="16"/>
              </w:rPr>
              <w:t>—</w:t>
            </w:r>
          </w:p>
        </w:tc>
      </w:tr>
      <w:tr w14:paraId="259D66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F3C0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E0A2B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119B0A">
            <w:pPr>
              <w:jc w:val="center"/>
            </w:pPr>
            <w:r>
              <w:rPr>
                <w:rFonts w:ascii="宋体" w:hAnsi="宋体" w:eastAsia="宋体"/>
                <w:sz w:val="16"/>
              </w:rPr>
              <w:t>实际完成情况</w:t>
            </w:r>
          </w:p>
        </w:tc>
      </w:tr>
      <w:tr w14:paraId="3E6CD3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AC822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37B120">
            <w:pPr>
              <w:jc w:val="both"/>
            </w:pPr>
            <w:r>
              <w:rPr>
                <w:rFonts w:ascii="宋体" w:hAnsi="宋体" w:eastAsia="宋体"/>
                <w:sz w:val="16"/>
              </w:rPr>
              <w:t xml:space="preserve">单位基本职能：1.贯彻执行党和国家、自治区、自治州政务服务和公共资源交易的法律法规和方针政策。2.组织、协调有关部门政务服务事项进驻政务服务大厅，负责政务服务和公共资源交易平台的信息化建设，为政务服务和公共资源交易活动提供服务场所和平台。3.负责对阿图什市本级工程建设项目招标投标、矿业权出让、国有产权交易、政府采购及以市场化配置的自然资源、资产股权等各类公共资源交易，提供见证、场所、信息、档案等管理和服务。4.承担阿图什市政务服务大厅和公共资源交易大厅的日常管理及规范化建设工作，为“放管服”改革落地提供支撑。5.承担自治区一体化在线政务服务平台阿图什市业务系统对接、建设、管理和公共资源交易平台建设、运行维护等工作，承担“12345”在线服务平台相关工作。 </w:t>
            </w:r>
            <w:r>
              <w:rPr>
                <w:rFonts w:ascii="宋体" w:hAnsi="宋体" w:eastAsia="宋体"/>
                <w:sz w:val="16"/>
              </w:rPr>
              <w:br w:type="textWrapping"/>
            </w:r>
            <w:r>
              <w:rPr>
                <w:rFonts w:ascii="宋体" w:hAnsi="宋体" w:eastAsia="宋体"/>
                <w:sz w:val="16"/>
              </w:rPr>
              <w:t xml:space="preserve">部门编制情况：人员编制8人，实际在岗7人；单位中长期规划：1.加快平台建设，进一步提升电子政务服务和交易水平，2. 部门联动出击，进一步合力净化交易市场，3.转变理念，进一步提升服务效能。 </w:t>
            </w:r>
            <w:r>
              <w:rPr>
                <w:rFonts w:ascii="宋体" w:hAnsi="宋体" w:eastAsia="宋体"/>
                <w:sz w:val="16"/>
              </w:rPr>
              <w:br w:type="textWrapping"/>
            </w:r>
            <w:r>
              <w:rPr>
                <w:rFonts w:ascii="宋体" w:hAnsi="宋体" w:eastAsia="宋体"/>
                <w:sz w:val="16"/>
              </w:rPr>
              <w:t xml:space="preserve">  保障部门在职5人的各项工资福利补助正常发放及部门正常运转。采购电子招标设备及系统为政府投资项目管理和招投标行业的持续发展提供有力保障。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384895">
            <w:pPr>
              <w:jc w:val="both"/>
            </w:pPr>
            <w:r>
              <w:rPr>
                <w:rFonts w:ascii="宋体" w:hAnsi="宋体" w:eastAsia="宋体"/>
                <w:sz w:val="16"/>
              </w:rPr>
              <w:t xml:space="preserve">本单位共计支出129.66万元，主要用于保障部门在职5个人的各项工资福利补助正常发放及部门正常运转，加快平台建设，进一步提升电子政务服务和交易水平，为政府投资项目管理和招投标行业的持续发展提供有力保障。 </w:t>
            </w:r>
            <w:r>
              <w:rPr>
                <w:rFonts w:ascii="宋体" w:hAnsi="宋体" w:eastAsia="宋体"/>
                <w:sz w:val="16"/>
              </w:rPr>
              <w:br w:type="textWrapping"/>
            </w:r>
          </w:p>
        </w:tc>
      </w:tr>
      <w:tr w14:paraId="54E8640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CC57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BFC6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7CB8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E9FC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0619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3FC8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2FF8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35B60">
            <w:pPr>
              <w:jc w:val="center"/>
            </w:pPr>
            <w:r>
              <w:rPr>
                <w:rFonts w:ascii="宋体" w:hAnsi="宋体" w:eastAsia="宋体"/>
                <w:sz w:val="16"/>
              </w:rPr>
              <w:t>得分</w:t>
            </w:r>
          </w:p>
        </w:tc>
      </w:tr>
      <w:tr w14:paraId="1F0F47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A2E8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2278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1E9E4">
            <w:pPr>
              <w:jc w:val="center"/>
            </w:pPr>
            <w:r>
              <w:rPr>
                <w:rFonts w:ascii="宋体" w:hAnsi="宋体" w:eastAsia="宋体"/>
                <w:sz w:val="16"/>
              </w:rPr>
              <w:t>指导帮助代理公司数量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D00F0">
            <w:pPr>
              <w:jc w:val="center"/>
            </w:pPr>
            <w:r>
              <w:rPr>
                <w:rFonts w:ascii="宋体" w:hAnsi="宋体" w:eastAsia="宋体"/>
                <w:sz w:val="16"/>
              </w:rPr>
              <w:t>&gt;=10家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646D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6440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7F8C3">
            <w:pPr>
              <w:jc w:val="center"/>
            </w:pPr>
            <w:r>
              <w:rPr>
                <w:rFonts w:ascii="宋体" w:hAnsi="宋体" w:eastAsia="宋体"/>
                <w:sz w:val="16"/>
              </w:rPr>
              <w:t>10家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029D1">
            <w:pPr>
              <w:jc w:val="center"/>
            </w:pPr>
            <w:r>
              <w:rPr>
                <w:rFonts w:ascii="宋体" w:hAnsi="宋体" w:eastAsia="宋体"/>
                <w:sz w:val="16"/>
              </w:rPr>
              <w:t>18</w:t>
            </w:r>
          </w:p>
        </w:tc>
      </w:tr>
      <w:tr w14:paraId="1B7E58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D635B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5B7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15EE3">
            <w:pPr>
              <w:jc w:val="center"/>
            </w:pPr>
            <w:r>
              <w:rPr>
                <w:rFonts w:ascii="宋体" w:hAnsi="宋体" w:eastAsia="宋体"/>
                <w:sz w:val="16"/>
              </w:rPr>
              <w:t>维护政务服务平台数量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BECBA">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F173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E6DA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DC12B">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55420">
            <w:pPr>
              <w:jc w:val="center"/>
            </w:pPr>
            <w:r>
              <w:rPr>
                <w:rFonts w:ascii="宋体" w:hAnsi="宋体" w:eastAsia="宋体"/>
                <w:sz w:val="16"/>
              </w:rPr>
              <w:t>18</w:t>
            </w:r>
          </w:p>
        </w:tc>
      </w:tr>
      <w:tr w14:paraId="778929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6649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F81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6AAAB">
            <w:pPr>
              <w:jc w:val="center"/>
            </w:pPr>
            <w:r>
              <w:rPr>
                <w:rFonts w:ascii="宋体" w:hAnsi="宋体" w:eastAsia="宋体"/>
                <w:sz w:val="16"/>
              </w:rPr>
              <w:t>一体化在线政务服务平台使用合格率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E427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844A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4ED4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EE2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4124F">
            <w:pPr>
              <w:jc w:val="center"/>
            </w:pPr>
            <w:r>
              <w:rPr>
                <w:rFonts w:ascii="宋体" w:hAnsi="宋体" w:eastAsia="宋体"/>
                <w:sz w:val="16"/>
              </w:rPr>
              <w:t>18</w:t>
            </w:r>
          </w:p>
        </w:tc>
      </w:tr>
      <w:tr w14:paraId="255055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0D9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7204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BCAF6">
            <w:pPr>
              <w:jc w:val="center"/>
            </w:pPr>
            <w:r>
              <w:rPr>
                <w:rFonts w:ascii="宋体" w:hAnsi="宋体" w:eastAsia="宋体"/>
                <w:sz w:val="16"/>
              </w:rPr>
              <w:t>公共资源交易系统数量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55E7D">
            <w:pPr>
              <w:jc w:val="center"/>
            </w:pPr>
            <w:r>
              <w:rPr>
                <w:rFonts w:ascii="宋体" w:hAnsi="宋体" w:eastAsia="宋体"/>
                <w:sz w:val="16"/>
              </w:rPr>
              <w:t>=1套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74CD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41A0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F8770">
            <w:pPr>
              <w:jc w:val="center"/>
            </w:pPr>
            <w:r>
              <w:rPr>
                <w:rFonts w:ascii="宋体" w:hAnsi="宋体" w:eastAsia="宋体"/>
                <w:sz w:val="16"/>
              </w:rPr>
              <w:t>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CEF6D">
            <w:pPr>
              <w:jc w:val="center"/>
            </w:pPr>
            <w:r>
              <w:rPr>
                <w:rFonts w:ascii="宋体" w:hAnsi="宋体" w:eastAsia="宋体"/>
                <w:sz w:val="16"/>
              </w:rPr>
              <w:t>18</w:t>
            </w:r>
          </w:p>
        </w:tc>
      </w:tr>
      <w:tr w14:paraId="3D1F54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AC71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2CA07">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D5CB9">
            <w:pPr>
              <w:jc w:val="center"/>
            </w:pPr>
            <w:r>
              <w:rPr>
                <w:rFonts w:ascii="宋体" w:hAnsi="宋体" w:eastAsia="宋体"/>
                <w:sz w:val="16"/>
              </w:rPr>
              <w:t>“12345”政务服务热线工单办结率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B26C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2645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4AFB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F606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15781">
            <w:pPr>
              <w:jc w:val="center"/>
            </w:pPr>
            <w:r>
              <w:rPr>
                <w:rFonts w:ascii="宋体" w:hAnsi="宋体" w:eastAsia="宋体"/>
                <w:sz w:val="16"/>
              </w:rPr>
              <w:t>18</w:t>
            </w:r>
          </w:p>
        </w:tc>
      </w:tr>
    </w:tbl>
    <w:p w14:paraId="57EEBAA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7"/>
        <w:gridCol w:w="776"/>
        <w:gridCol w:w="630"/>
        <w:gridCol w:w="616"/>
        <w:gridCol w:w="629"/>
      </w:tblGrid>
      <w:tr w14:paraId="29944674">
        <w:tblPrEx>
          <w:tblCellMar>
            <w:top w:w="0" w:type="dxa"/>
            <w:left w:w="108" w:type="dxa"/>
            <w:bottom w:w="0" w:type="dxa"/>
            <w:right w:w="108" w:type="dxa"/>
          </w:tblCellMar>
        </w:tblPrEx>
        <w:tc>
          <w:tcPr>
            <w:tcW w:w="8848" w:type="dxa"/>
            <w:gridSpan w:val="14"/>
            <w:vAlign w:val="center"/>
          </w:tcPr>
          <w:p w14:paraId="00D6A3B3">
            <w:pPr>
              <w:jc w:val="center"/>
            </w:pPr>
            <w:r>
              <w:rPr>
                <w:rFonts w:ascii="宋体" w:hAnsi="宋体" w:eastAsia="宋体"/>
                <w:sz w:val="24"/>
              </w:rPr>
              <w:t>项目支出绩效自评表</w:t>
            </w:r>
          </w:p>
        </w:tc>
      </w:tr>
      <w:tr w14:paraId="4B69DEAF">
        <w:tblPrEx>
          <w:tblCellMar>
            <w:top w:w="0" w:type="dxa"/>
            <w:left w:w="108" w:type="dxa"/>
            <w:bottom w:w="0" w:type="dxa"/>
            <w:right w:w="108" w:type="dxa"/>
          </w:tblCellMar>
        </w:tblPrEx>
        <w:tc>
          <w:tcPr>
            <w:tcW w:w="8848" w:type="dxa"/>
            <w:gridSpan w:val="14"/>
            <w:vAlign w:val="center"/>
          </w:tcPr>
          <w:p w14:paraId="10A163C0">
            <w:pPr>
              <w:jc w:val="center"/>
            </w:pPr>
            <w:r>
              <w:rPr>
                <w:rFonts w:ascii="宋体" w:hAnsi="宋体" w:eastAsia="宋体"/>
                <w:sz w:val="24"/>
              </w:rPr>
              <w:t>(2024年度)</w:t>
            </w:r>
          </w:p>
        </w:tc>
      </w:tr>
      <w:tr w14:paraId="6539D8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A0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23BA8B">
            <w:pPr>
              <w:jc w:val="center"/>
            </w:pPr>
            <w:r>
              <w:rPr>
                <w:rFonts w:ascii="宋体" w:hAnsi="宋体" w:eastAsia="宋体"/>
                <w:sz w:val="16"/>
              </w:rPr>
              <w:t>2024年度交易中心场所维护及招投标设备采购运行维护费项目</w:t>
            </w:r>
          </w:p>
        </w:tc>
      </w:tr>
      <w:tr w14:paraId="595D2E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31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77698">
            <w:pPr>
              <w:jc w:val="center"/>
            </w:pPr>
            <w:r>
              <w:rPr>
                <w:rFonts w:ascii="宋体" w:hAnsi="宋体" w:eastAsia="宋体"/>
                <w:sz w:val="16"/>
              </w:rPr>
              <w:t>阿图什市政务服务和公共资源交易中心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FC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D83326">
            <w:pPr>
              <w:jc w:val="center"/>
            </w:pPr>
            <w:r>
              <w:rPr>
                <w:rFonts w:ascii="宋体" w:hAnsi="宋体" w:eastAsia="宋体"/>
                <w:sz w:val="16"/>
              </w:rPr>
              <w:t>阿图什市政务服务和公共资源交易中心</w:t>
            </w:r>
          </w:p>
        </w:tc>
      </w:tr>
      <w:tr w14:paraId="0A31C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90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98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2A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74C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AD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1A9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6B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9986">
            <w:pPr>
              <w:jc w:val="center"/>
            </w:pPr>
            <w:r>
              <w:rPr>
                <w:rFonts w:ascii="宋体" w:hAnsi="宋体" w:eastAsia="宋体"/>
                <w:sz w:val="16"/>
              </w:rPr>
              <w:t>得分</w:t>
            </w:r>
          </w:p>
        </w:tc>
      </w:tr>
      <w:tr w14:paraId="12B6C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AE1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43E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6A0E">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E8EA">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0444">
            <w:pPr>
              <w:jc w:val="center"/>
            </w:pPr>
            <w:r>
              <w:rPr>
                <w:rFonts w:ascii="宋体" w:hAnsi="宋体" w:eastAsia="宋体"/>
                <w:sz w:val="16"/>
              </w:rPr>
              <w:t>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01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8572">
            <w:pPr>
              <w:jc w:val="center"/>
            </w:pPr>
            <w:r>
              <w:rPr>
                <w:rFonts w:ascii="宋体" w:hAnsi="宋体" w:eastAsia="宋体"/>
                <w:sz w:val="16"/>
              </w:rPr>
              <w:t>32.8%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ED60">
            <w:pPr>
              <w:jc w:val="center"/>
            </w:pPr>
            <w:r>
              <w:rPr>
                <w:rFonts w:ascii="宋体" w:hAnsi="宋体" w:eastAsia="宋体"/>
                <w:sz w:val="16"/>
              </w:rPr>
              <w:t>0.00分</w:t>
            </w:r>
          </w:p>
        </w:tc>
      </w:tr>
      <w:tr w14:paraId="7ADEB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E8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4DD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8C6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804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5C7D6">
            <w:pPr>
              <w:jc w:val="center"/>
            </w:pPr>
            <w:r>
              <w:rPr>
                <w:rFonts w:ascii="宋体" w:hAnsi="宋体" w:eastAsia="宋体"/>
                <w:sz w:val="16"/>
              </w:rPr>
              <w:t>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EDD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C5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A405">
            <w:pPr>
              <w:jc w:val="center"/>
            </w:pPr>
            <w:r>
              <w:rPr>
                <w:rFonts w:ascii="宋体" w:hAnsi="宋体" w:eastAsia="宋体"/>
                <w:sz w:val="16"/>
              </w:rPr>
              <w:t>—</w:t>
            </w:r>
          </w:p>
        </w:tc>
      </w:tr>
      <w:tr w14:paraId="2FBF9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E58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DA1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E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0FE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0C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01C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B09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DD7A">
            <w:pPr>
              <w:jc w:val="center"/>
            </w:pPr>
            <w:r>
              <w:rPr>
                <w:rFonts w:ascii="宋体" w:hAnsi="宋体" w:eastAsia="宋体"/>
                <w:sz w:val="16"/>
              </w:rPr>
              <w:t>—</w:t>
            </w:r>
          </w:p>
        </w:tc>
      </w:tr>
      <w:tr w14:paraId="2FC2C9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3EC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408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02079">
            <w:pPr>
              <w:jc w:val="center"/>
            </w:pPr>
            <w:r>
              <w:rPr>
                <w:rFonts w:ascii="宋体" w:hAnsi="宋体" w:eastAsia="宋体"/>
                <w:sz w:val="16"/>
              </w:rPr>
              <w:t>实际完成情况</w:t>
            </w:r>
          </w:p>
        </w:tc>
      </w:tr>
      <w:tr w14:paraId="70B8F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8CB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9EF31">
            <w:pPr>
              <w:jc w:val="both"/>
            </w:pPr>
            <w:r>
              <w:rPr>
                <w:rFonts w:ascii="宋体" w:hAnsi="宋体" w:eastAsia="宋体"/>
                <w:sz w:val="16"/>
              </w:rPr>
              <w:t>本项目总投资45万元，主要实施16万元用于电子招标设备及系统采购1套，21.8万元用于单位日常业务工作正常开展，7.2万元用于1名聘用工作人员工资发放。通过实施提升公共资源交易</w:t>
            </w:r>
            <w:r>
              <w:rPr>
                <w:rFonts w:hint="eastAsia" w:ascii="宋体" w:hAnsi="宋体"/>
                <w:sz w:val="16"/>
                <w:lang w:eastAsia="zh-CN"/>
              </w:rPr>
              <w:t>工作</w:t>
            </w:r>
            <w:r>
              <w:rPr>
                <w:rFonts w:ascii="宋体" w:hAnsi="宋体" w:eastAsia="宋体"/>
                <w:sz w:val="16"/>
              </w:rPr>
              <w:t>效果，积极助力阿图什市经济社会向好发展。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C87AC4">
            <w:pPr>
              <w:jc w:val="both"/>
            </w:pPr>
            <w:r>
              <w:rPr>
                <w:rFonts w:ascii="宋体" w:hAnsi="宋体" w:eastAsia="宋体"/>
                <w:sz w:val="16"/>
              </w:rPr>
              <w:t>本项目共计支出14.7522万元，用于购买电子招投标设备及系统数量1套，采购办公用品及设备数量3批，聘用工作人员1人；通过实施本项目提升公共资源交易</w:t>
            </w:r>
            <w:r>
              <w:rPr>
                <w:rFonts w:hint="eastAsia" w:ascii="宋体" w:hAnsi="宋体"/>
                <w:sz w:val="16"/>
                <w:lang w:eastAsia="zh-CN"/>
              </w:rPr>
              <w:t>工作</w:t>
            </w:r>
            <w:r>
              <w:rPr>
                <w:rFonts w:ascii="宋体" w:hAnsi="宋体" w:eastAsia="宋体"/>
                <w:sz w:val="16"/>
              </w:rPr>
              <w:t>效果，积极助力阿图什市经济社会向好发展。</w:t>
            </w:r>
          </w:p>
        </w:tc>
      </w:tr>
      <w:tr w14:paraId="7C4FC6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95F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6C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FD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94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A1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4E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5F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72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A8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39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8D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8B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7279">
            <w:pPr>
              <w:jc w:val="center"/>
            </w:pPr>
            <w:r>
              <w:rPr>
                <w:rFonts w:ascii="宋体" w:hAnsi="宋体" w:eastAsia="宋体"/>
                <w:sz w:val="16"/>
              </w:rPr>
              <w:t>偏差原因分析及改进措施</w:t>
            </w:r>
          </w:p>
        </w:tc>
      </w:tr>
      <w:tr w14:paraId="59302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6A2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BBD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969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AAF7">
            <w:pPr>
              <w:jc w:val="center"/>
            </w:pPr>
            <w:r>
              <w:rPr>
                <w:rFonts w:ascii="宋体" w:hAnsi="宋体" w:eastAsia="宋体"/>
                <w:sz w:val="16"/>
              </w:rPr>
              <w:t>购买电子招投标设备及系统数量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BCD9">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FA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28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C6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1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60E2">
            <w:pPr>
              <w:jc w:val="center"/>
            </w:pPr>
            <w:r>
              <w:rPr>
                <w:rFonts w:ascii="宋体" w:hAnsi="宋体" w:eastAsia="宋体"/>
                <w:sz w:val="16"/>
              </w:rPr>
              <w:t>工作资料</w:t>
            </w:r>
            <w:bookmarkStart w:id="0" w:name="_GoBack"/>
            <w:r>
              <w:rPr>
                <w:rFonts w:ascii="宋体" w:hAnsi="宋体" w:eastAsia="宋体"/>
                <w:sz w:val="16"/>
              </w:rPr>
              <w:t>,</w:t>
            </w:r>
            <w:bookmarkEnd w:id="0"/>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DEB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BC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9C14">
            <w:pPr>
              <w:jc w:val="center"/>
            </w:pPr>
          </w:p>
        </w:tc>
      </w:tr>
      <w:tr w14:paraId="45025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9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5D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F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DFD0">
            <w:pPr>
              <w:jc w:val="center"/>
            </w:pPr>
            <w:r>
              <w:rPr>
                <w:rFonts w:ascii="宋体" w:hAnsi="宋体" w:eastAsia="宋体"/>
                <w:sz w:val="16"/>
              </w:rPr>
              <w:t>采购办公用品及设备数量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E9E0">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1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39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55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2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06F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028E">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7C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BC2B">
            <w:pPr>
              <w:jc w:val="center"/>
            </w:pPr>
          </w:p>
        </w:tc>
      </w:tr>
      <w:tr w14:paraId="65231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9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8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284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478D">
            <w:pPr>
              <w:jc w:val="center"/>
            </w:pPr>
            <w:r>
              <w:rPr>
                <w:rFonts w:ascii="宋体" w:hAnsi="宋体" w:eastAsia="宋体"/>
                <w:sz w:val="16"/>
              </w:rPr>
              <w:t>聘用工作人员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F69E">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4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D0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55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3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2DA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646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F3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24948">
            <w:pPr>
              <w:jc w:val="center"/>
            </w:pPr>
          </w:p>
        </w:tc>
      </w:tr>
      <w:tr w14:paraId="514B6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E6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C7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24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CE4E">
            <w:pPr>
              <w:jc w:val="center"/>
            </w:pPr>
            <w:r>
              <w:rPr>
                <w:rFonts w:ascii="宋体" w:hAnsi="宋体" w:eastAsia="宋体"/>
                <w:sz w:val="16"/>
              </w:rPr>
              <w:t>设备及系统合格率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E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E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A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F6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E7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28A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9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389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C27E3">
            <w:pPr>
              <w:jc w:val="center"/>
            </w:pPr>
          </w:p>
        </w:tc>
      </w:tr>
      <w:tr w14:paraId="75FF1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F4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04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33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14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99A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F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7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14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52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8FC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759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53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0C33">
            <w:pPr>
              <w:jc w:val="center"/>
            </w:pPr>
          </w:p>
        </w:tc>
      </w:tr>
      <w:tr w14:paraId="607A2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92A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9E3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7E3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6CE6">
            <w:pPr>
              <w:jc w:val="center"/>
            </w:pPr>
            <w:r>
              <w:rPr>
                <w:rFonts w:ascii="宋体" w:hAnsi="宋体" w:eastAsia="宋体"/>
                <w:sz w:val="16"/>
              </w:rPr>
              <w:t>电子招投标设备及系统采购成本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0FDF">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8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3B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67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3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3C4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DFDA">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96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1F9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91D0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7C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A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85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9EFC">
            <w:pPr>
              <w:jc w:val="center"/>
            </w:pPr>
            <w:r>
              <w:rPr>
                <w:rFonts w:ascii="宋体" w:hAnsi="宋体" w:eastAsia="宋体"/>
                <w:sz w:val="16"/>
              </w:rPr>
              <w:t>聘请工作人员工资标准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3154">
            <w:pPr>
              <w:jc w:val="center"/>
            </w:pPr>
            <w:r>
              <w:rPr>
                <w:rFonts w:ascii="宋体" w:hAnsi="宋体" w:eastAsia="宋体"/>
                <w:sz w:val="16"/>
              </w:rPr>
              <w:t>&lt;=7.20万元/人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8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A8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86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9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985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AE24">
            <w:pPr>
              <w:jc w:val="center"/>
            </w:pPr>
            <w:r>
              <w:rPr>
                <w:rFonts w:ascii="宋体" w:hAnsi="宋体" w:eastAsia="宋体"/>
                <w:sz w:val="16"/>
              </w:rPr>
              <w:t>=1.2万元/人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85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923B">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96ED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A5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1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55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37BF">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A8A8">
            <w:pPr>
              <w:jc w:val="center"/>
            </w:pPr>
            <w:r>
              <w:rPr>
                <w:rFonts w:ascii="宋体" w:hAnsi="宋体" w:eastAsia="宋体"/>
                <w:sz w:val="16"/>
              </w:rPr>
              <w:t>&lt;=21.80万元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CB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B2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88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A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929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A98F">
            <w:pPr>
              <w:jc w:val="center"/>
            </w:pPr>
            <w:r>
              <w:rPr>
                <w:rFonts w:ascii="宋体" w:hAnsi="宋体" w:eastAsia="宋体"/>
                <w:sz w:val="16"/>
              </w:rPr>
              <w:t>=9.8522万元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61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2390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959E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0D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FE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9A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4C4E">
            <w:pPr>
              <w:jc w:val="center"/>
            </w:pPr>
            <w:r>
              <w:rPr>
                <w:rFonts w:ascii="宋体" w:hAnsi="宋体" w:eastAsia="宋体"/>
                <w:sz w:val="16"/>
              </w:rPr>
              <w:t>提升公共资源交易工作质效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894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E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4E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71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34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28A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C35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DF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89AC6">
            <w:pPr>
              <w:jc w:val="center"/>
            </w:pPr>
          </w:p>
        </w:tc>
      </w:tr>
      <w:tr w14:paraId="08C19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AE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73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51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D60A">
            <w:pPr>
              <w:jc w:val="center"/>
            </w:pPr>
            <w:r>
              <w:rPr>
                <w:rFonts w:ascii="宋体" w:hAnsi="宋体" w:eastAsia="宋体"/>
                <w:sz w:val="16"/>
              </w:rPr>
              <w:t>单位干部职工满意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FD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8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5D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2D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9A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37F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05D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8F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4B825">
            <w:pPr>
              <w:jc w:val="center"/>
            </w:pPr>
          </w:p>
        </w:tc>
      </w:tr>
      <w:tr w14:paraId="6249C8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8A9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50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71A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3259">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828617"/>
        </w:tc>
      </w:tr>
    </w:tbl>
    <w:p w14:paraId="768ED334">
      <w:r>
        <w:br w:type="page"/>
      </w:r>
    </w:p>
    <w:p w14:paraId="645A74E7">
      <w:pPr>
        <w:spacing w:line="640" w:lineRule="exact"/>
        <w:ind w:firstLine="640"/>
        <w:jc w:val="both"/>
        <w:outlineLvl w:val="2"/>
      </w:pPr>
      <w:r>
        <w:rPr>
          <w:rFonts w:ascii="黑体" w:hAnsi="黑体" w:eastAsia="黑体"/>
          <w:sz w:val="32"/>
        </w:rPr>
        <w:t>十二、其他需说明的事项</w:t>
      </w:r>
    </w:p>
    <w:p w14:paraId="6AFA408C">
      <w:pPr>
        <w:spacing w:line="580" w:lineRule="exact"/>
        <w:ind w:firstLine="640"/>
        <w:jc w:val="both"/>
      </w:pPr>
      <w:r>
        <w:rPr>
          <w:rFonts w:ascii="仿宋_GB2312" w:hAnsi="仿宋_GB2312" w:eastAsia="仿宋_GB2312"/>
          <w:b w:val="0"/>
          <w:sz w:val="32"/>
        </w:rPr>
        <w:t>本单位无其他需说明的事项。</w:t>
      </w:r>
    </w:p>
    <w:p w14:paraId="59DB62E8">
      <w:r>
        <w:br w:type="page"/>
      </w:r>
    </w:p>
    <w:p w14:paraId="2FBCF404">
      <w:pPr>
        <w:spacing w:line="240" w:lineRule="auto"/>
        <w:jc w:val="center"/>
        <w:outlineLvl w:val="1"/>
      </w:pPr>
      <w:r>
        <w:rPr>
          <w:rFonts w:ascii="黑体" w:hAnsi="黑体" w:eastAsia="黑体"/>
          <w:sz w:val="32"/>
        </w:rPr>
        <w:t>第三部分 专业名词解释</w:t>
      </w:r>
    </w:p>
    <w:p w14:paraId="4C519C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26DE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B99C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19590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8059D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D716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FD7E6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7BEE2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928A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52FC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105C5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46F9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DDF27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BF617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FB0588">
      <w:r>
        <w:br w:type="page"/>
      </w:r>
    </w:p>
    <w:p w14:paraId="3CE94B57">
      <w:pPr>
        <w:spacing w:line="240" w:lineRule="auto"/>
        <w:jc w:val="center"/>
        <w:outlineLvl w:val="1"/>
      </w:pPr>
      <w:r>
        <w:rPr>
          <w:rFonts w:ascii="黑体" w:hAnsi="黑体" w:eastAsia="黑体"/>
          <w:sz w:val="32"/>
        </w:rPr>
        <w:t>第四部分 部门决算报表（见附表）</w:t>
      </w:r>
    </w:p>
    <w:p w14:paraId="0FA9CAA2">
      <w:pPr>
        <w:spacing w:line="240" w:lineRule="auto"/>
        <w:ind w:firstLine="640"/>
        <w:jc w:val="both"/>
      </w:pPr>
      <w:r>
        <w:rPr>
          <w:rFonts w:ascii="仿宋_GB2312" w:hAnsi="仿宋_GB2312" w:eastAsia="仿宋_GB2312"/>
          <w:b w:val="0"/>
          <w:sz w:val="32"/>
        </w:rPr>
        <w:t>一、《收入支出决算总表》</w:t>
      </w:r>
    </w:p>
    <w:p w14:paraId="7F3F5654">
      <w:pPr>
        <w:spacing w:line="240" w:lineRule="auto"/>
        <w:ind w:firstLine="640"/>
        <w:jc w:val="both"/>
      </w:pPr>
      <w:r>
        <w:rPr>
          <w:rFonts w:ascii="仿宋_GB2312" w:hAnsi="仿宋_GB2312" w:eastAsia="仿宋_GB2312"/>
          <w:b w:val="0"/>
          <w:sz w:val="32"/>
        </w:rPr>
        <w:t>二、《收入决算表》</w:t>
      </w:r>
    </w:p>
    <w:p w14:paraId="5F01F769">
      <w:pPr>
        <w:spacing w:line="240" w:lineRule="auto"/>
        <w:ind w:firstLine="640"/>
        <w:jc w:val="both"/>
      </w:pPr>
      <w:r>
        <w:rPr>
          <w:rFonts w:ascii="仿宋_GB2312" w:hAnsi="仿宋_GB2312" w:eastAsia="仿宋_GB2312"/>
          <w:b w:val="0"/>
          <w:sz w:val="32"/>
        </w:rPr>
        <w:t>三、《支出决算表》</w:t>
      </w:r>
    </w:p>
    <w:p w14:paraId="68BC2264">
      <w:pPr>
        <w:spacing w:line="240" w:lineRule="auto"/>
        <w:ind w:firstLine="640"/>
        <w:jc w:val="both"/>
      </w:pPr>
      <w:r>
        <w:rPr>
          <w:rFonts w:ascii="仿宋_GB2312" w:hAnsi="仿宋_GB2312" w:eastAsia="仿宋_GB2312"/>
          <w:b w:val="0"/>
          <w:sz w:val="32"/>
        </w:rPr>
        <w:t>四、《财政拨款收入支出决算总表》</w:t>
      </w:r>
    </w:p>
    <w:p w14:paraId="205F8857">
      <w:pPr>
        <w:spacing w:line="240" w:lineRule="auto"/>
        <w:ind w:firstLine="640"/>
        <w:jc w:val="both"/>
      </w:pPr>
      <w:r>
        <w:rPr>
          <w:rFonts w:ascii="仿宋_GB2312" w:hAnsi="仿宋_GB2312" w:eastAsia="仿宋_GB2312"/>
          <w:b w:val="0"/>
          <w:sz w:val="32"/>
        </w:rPr>
        <w:t>五、《一般公共预算财政拨款支出决算表》</w:t>
      </w:r>
    </w:p>
    <w:p w14:paraId="42DF87D0">
      <w:pPr>
        <w:spacing w:line="240" w:lineRule="auto"/>
        <w:ind w:firstLine="640"/>
        <w:jc w:val="both"/>
      </w:pPr>
      <w:r>
        <w:rPr>
          <w:rFonts w:ascii="仿宋_GB2312" w:hAnsi="仿宋_GB2312" w:eastAsia="仿宋_GB2312"/>
          <w:b w:val="0"/>
          <w:sz w:val="32"/>
        </w:rPr>
        <w:t>六、《一般公共预算财政拨款基本支出决算表》</w:t>
      </w:r>
    </w:p>
    <w:p w14:paraId="2FD850D2">
      <w:pPr>
        <w:spacing w:line="240" w:lineRule="auto"/>
        <w:ind w:firstLine="640"/>
        <w:jc w:val="both"/>
      </w:pPr>
      <w:r>
        <w:rPr>
          <w:rFonts w:ascii="仿宋_GB2312" w:hAnsi="仿宋_GB2312" w:eastAsia="仿宋_GB2312"/>
          <w:b w:val="0"/>
          <w:sz w:val="32"/>
        </w:rPr>
        <w:t>七、《政府性基金预算财政拨款收入支出决算表》</w:t>
      </w:r>
    </w:p>
    <w:p w14:paraId="2A8AFEE8">
      <w:pPr>
        <w:spacing w:line="240" w:lineRule="auto"/>
        <w:ind w:firstLine="640"/>
        <w:jc w:val="both"/>
      </w:pPr>
      <w:r>
        <w:rPr>
          <w:rFonts w:ascii="仿宋_GB2312" w:hAnsi="仿宋_GB2312" w:eastAsia="仿宋_GB2312"/>
          <w:b w:val="0"/>
          <w:sz w:val="32"/>
        </w:rPr>
        <w:t>八、《国有资本经营预算财政拨款收入支出决算表》</w:t>
      </w:r>
    </w:p>
    <w:p w14:paraId="311A1C60">
      <w:pPr>
        <w:spacing w:line="240" w:lineRule="auto"/>
        <w:ind w:firstLine="640"/>
        <w:jc w:val="both"/>
      </w:pPr>
      <w:r>
        <w:rPr>
          <w:rFonts w:ascii="仿宋_GB2312" w:hAnsi="仿宋_GB2312" w:eastAsia="仿宋_GB2312"/>
          <w:b w:val="0"/>
          <w:sz w:val="32"/>
        </w:rPr>
        <w:t>九、《财政拨款“三公”经费支出决算表》</w:t>
      </w:r>
    </w:p>
    <w:p w14:paraId="759EEBE2">
      <w:pPr>
        <w:spacing w:line="240" w:lineRule="auto"/>
        <w:ind w:firstLine="640"/>
        <w:jc w:val="both"/>
      </w:pPr>
    </w:p>
    <w:p w14:paraId="778B5F45">
      <w:pPr>
        <w:spacing w:line="240" w:lineRule="auto"/>
        <w:ind w:firstLine="640"/>
        <w:jc w:val="both"/>
      </w:pPr>
    </w:p>
    <w:p w14:paraId="01458F47">
      <w:pPr>
        <w:spacing w:line="240" w:lineRule="auto"/>
        <w:ind w:firstLine="640"/>
        <w:jc w:val="both"/>
      </w:pPr>
    </w:p>
    <w:p w14:paraId="0275DF13">
      <w:pPr>
        <w:spacing w:line="240" w:lineRule="auto"/>
        <w:ind w:firstLine="640"/>
        <w:jc w:val="both"/>
      </w:pPr>
    </w:p>
    <w:p w14:paraId="13FA0F4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0F3642"/>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38211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5260</Words>
  <Characters>5983</Characters>
  <Lines>0</Lines>
  <Paragraphs>0</Paragraphs>
  <TotalTime>4</TotalTime>
  <ScaleCrop>false</ScaleCrop>
  <LinksUpToDate>false</LinksUpToDate>
  <CharactersWithSpaces>5997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