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2024年度交易中心场所维护及招投标设备采购运行维护费项目</w:t>
      </w:r>
      <w:r>
        <w:rPr>
          <w:rFonts w:hint="eastAsia" w:ascii="方正小标宋_GBK" w:hAnsi="黑体" w:eastAsia="方正小标宋_GBK" w:cs="仿宋_GB2312"/>
          <w:bCs/>
          <w:color w:val="auto"/>
          <w:kern w:val="0"/>
          <w:sz w:val="44"/>
          <w:szCs w:val="44"/>
          <w:highlight w:val="none"/>
        </w:rPr>
        <w:t>支出绩效评价报告</w:t>
      </w:r>
    </w:p>
    <w:p>
      <w:pPr>
        <w:tabs>
          <w:tab w:val="left" w:pos="5815"/>
        </w:tabs>
        <w:spacing w:line="560" w:lineRule="exact"/>
        <w:jc w:val="left"/>
        <w:rPr>
          <w:rFonts w:hint="eastAsia" w:ascii="方正小标宋_GBK" w:hAnsi="黑体" w:eastAsia="方正小标宋_GBK" w:cs="仿宋_GB2312"/>
          <w:color w:val="auto"/>
          <w:kern w:val="0"/>
          <w:sz w:val="44"/>
          <w:szCs w:val="44"/>
          <w:highlight w:val="none"/>
          <w:lang w:eastAsia="zh-CN"/>
        </w:rPr>
      </w:pPr>
      <w:r>
        <w:rPr>
          <w:rFonts w:hint="eastAsia" w:ascii="方正小标宋_GBK" w:hAnsi="黑体" w:eastAsia="方正小标宋_GBK" w:cs="仿宋_GB2312"/>
          <w:color w:val="auto"/>
          <w:kern w:val="0"/>
          <w:sz w:val="44"/>
          <w:szCs w:val="44"/>
          <w:highlight w:val="none"/>
          <w:lang w:eastAsia="zh-CN"/>
        </w:rPr>
        <w:tab/>
      </w: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项目名称：2024年度交易中心场所维护及招投标设备采购运行维护费项目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项目单位：阿图什市政务服务和公共资源交易中心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主管部门：阿图什市政务服务和公共资源交易中心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2024年度交易中心场所维护及招投标设备采购运行维护费项目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rPr>
        <w:t>根据自治州“十四五”规划及国家全额批款性行业发展需要，按自治区公共资源交易工作要求，结合本单位承担自治区一体化在线政务服务平台阿图什市业务系统对接、建设管理和公共资源交易平台建设、运行维护等工作，承担“12345”在线服务平台相关工作;等方面管理职能方面工作职责，按照年度工作计划，开展政务服务和交易中心场所维修及招投标设备采购及运行维护费项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通过</w:t>
      </w:r>
      <w:r>
        <w:rPr>
          <w:rFonts w:hint="eastAsia" w:ascii="仿宋_GB2312" w:hAnsi="仿宋_GB2312" w:cs="仿宋_GB2312"/>
          <w:color w:val="auto"/>
          <w:sz w:val="32"/>
          <w:szCs w:val="32"/>
          <w:highlight w:val="none"/>
          <w:lang w:eastAsia="zh-CN"/>
        </w:rPr>
        <w:t>购买电子招投标设备及系统数量1套，采购办公用品及设备数量3批，聘用工作人员1人，</w:t>
      </w:r>
      <w:r>
        <w:rPr>
          <w:rFonts w:hint="eastAsia" w:ascii="仿宋_GB2312" w:hAnsi="仿宋_GB2312" w:cs="仿宋_GB2312"/>
          <w:color w:val="auto"/>
          <w:sz w:val="32"/>
          <w:szCs w:val="32"/>
          <w:highlight w:val="none"/>
          <w:lang w:val="en-US" w:eastAsia="zh-CN"/>
        </w:rPr>
        <w:t>达到提升公共资源交易工作质效果，积极助力阿图什市经济社会向好发展的目的。本项目的立项依据为《关于阿图什市政务服务和公共资源交易中心其它费用列入2023年部门预算的申请》。</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本项目总投资45万元，主要实施16万元用于电子招标设备及系统采购1套，21.8万元用于单位日常业务工作正常开展，7.2万元用于1名聘用工作人员工资发放。通过实施提升公共资源交易工作质效果，积极助力阿图什市经济社会向好发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实施主体：本项目的主管部门为阿图什市政务服务和公共资源交易中心,实施单位为阿图什市政务服务和公共资源交易中心，主要职责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项目实施过程中严格按照实施方案进行实施并及时进行监督管理，项目实施后进行及时验收及后期管理</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本项目共计支出14.7522万元，用于购买电子招投标设备及系统数量1套，采购办公用品及设备数量3批，聘用工作人员1人；通过实施本项目提升公共资源交易工作质效果，积极助力阿图什市经济社会向好发展。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45</w:t>
      </w:r>
      <w:r>
        <w:rPr>
          <w:rStyle w:val="11"/>
          <w:rFonts w:hint="eastAsia" w:ascii="仿宋_GB2312" w:hAnsi="仿宋_GB2312" w:cs="仿宋_GB2312"/>
          <w:b w:val="0"/>
          <w:bCs w:val="0"/>
          <w:color w:val="auto"/>
          <w:spacing w:val="-4"/>
          <w:sz w:val="32"/>
          <w:szCs w:val="30"/>
          <w:highlight w:val="none"/>
        </w:rPr>
        <w:t>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资金使用情况：根据项目实施情况，项目资金实际支付14.75万元，资金执行率达到</w:t>
      </w:r>
      <w:r>
        <w:rPr>
          <w:rStyle w:val="11"/>
          <w:rFonts w:hint="eastAsia" w:ascii="仿宋_GB2312" w:hAnsi="仿宋_GB2312" w:cs="仿宋_GB2312"/>
          <w:b w:val="0"/>
          <w:color w:val="auto"/>
          <w:spacing w:val="-4"/>
          <w:sz w:val="32"/>
          <w:szCs w:val="30"/>
          <w:highlight w:val="none"/>
          <w:lang w:val="en-US" w:eastAsia="zh-CN"/>
        </w:rPr>
        <w:t>32.80%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eastAsia="仿宋_GB2312" w:cs="仿宋_GB2312"/>
          <w:b w:val="0"/>
          <w:color w:val="auto"/>
          <w:spacing w:val="-4"/>
          <w:sz w:val="32"/>
          <w:szCs w:val="30"/>
          <w:highlight w:val="none"/>
          <w:lang w:val="en-US" w:eastAsia="zh-CN"/>
        </w:rPr>
      </w:pPr>
      <w:r>
        <w:rPr>
          <w:rStyle w:val="11"/>
          <w:rFonts w:hint="eastAsia" w:ascii="仿宋_GB2312" w:hAnsi="仿宋_GB2312" w:cs="仿宋_GB2312"/>
          <w:b w:val="0"/>
          <w:color w:val="auto"/>
          <w:spacing w:val="-4"/>
          <w:sz w:val="32"/>
          <w:szCs w:val="30"/>
          <w:highlight w:val="none"/>
        </w:rPr>
        <w:t>电子招投标设备及系统采购成本3.7</w:t>
      </w:r>
      <w:r>
        <w:rPr>
          <w:rStyle w:val="11"/>
          <w:rFonts w:hint="eastAsia" w:ascii="仿宋_GB2312" w:hAnsi="仿宋_GB2312" w:cs="仿宋_GB2312"/>
          <w:b w:val="0"/>
          <w:color w:val="auto"/>
          <w:spacing w:val="-4"/>
          <w:sz w:val="32"/>
          <w:szCs w:val="30"/>
          <w:highlight w:val="none"/>
          <w:lang w:val="en-US" w:eastAsia="zh-CN"/>
        </w:rPr>
        <w:t>0</w:t>
      </w:r>
      <w:r>
        <w:rPr>
          <w:rStyle w:val="11"/>
          <w:rFonts w:hint="eastAsia" w:ascii="仿宋_GB2312" w:hAnsi="仿宋_GB2312" w:cs="仿宋_GB2312"/>
          <w:b w:val="0"/>
          <w:color w:val="auto"/>
          <w:spacing w:val="-4"/>
          <w:sz w:val="32"/>
          <w:szCs w:val="30"/>
          <w:highlight w:val="none"/>
        </w:rPr>
        <w:t>万元</w:t>
      </w:r>
      <w:r>
        <w:rPr>
          <w:rStyle w:val="11"/>
          <w:rFonts w:hint="eastAsia" w:ascii="仿宋_GB2312" w:hAnsi="仿宋_GB2312" w:cs="仿宋_GB2312"/>
          <w:b w:val="0"/>
          <w:color w:val="auto"/>
          <w:spacing w:val="-4"/>
          <w:sz w:val="32"/>
          <w:szCs w:val="30"/>
          <w:highlight w:val="none"/>
          <w:lang w:val="en-US"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eastAsia="仿宋_GB2312" w:cs="仿宋_GB2312"/>
          <w:b w:val="0"/>
          <w:color w:val="auto"/>
          <w:spacing w:val="-4"/>
          <w:sz w:val="32"/>
          <w:szCs w:val="30"/>
          <w:highlight w:val="none"/>
          <w:lang w:val="en-US" w:eastAsia="zh-CN"/>
        </w:rPr>
      </w:pPr>
      <w:r>
        <w:rPr>
          <w:rStyle w:val="11"/>
          <w:rFonts w:hint="eastAsia" w:ascii="仿宋_GB2312" w:hAnsi="仿宋_GB2312" w:cs="仿宋_GB2312"/>
          <w:b w:val="0"/>
          <w:color w:val="auto"/>
          <w:spacing w:val="-4"/>
          <w:sz w:val="32"/>
          <w:szCs w:val="30"/>
          <w:highlight w:val="none"/>
        </w:rPr>
        <w:t>聘请工作人员工资标准1.2</w:t>
      </w:r>
      <w:r>
        <w:rPr>
          <w:rStyle w:val="11"/>
          <w:rFonts w:hint="eastAsia" w:ascii="仿宋_GB2312" w:hAnsi="仿宋_GB2312" w:cs="仿宋_GB2312"/>
          <w:b w:val="0"/>
          <w:color w:val="auto"/>
          <w:spacing w:val="-4"/>
          <w:sz w:val="32"/>
          <w:szCs w:val="30"/>
          <w:highlight w:val="none"/>
          <w:lang w:val="en-US" w:eastAsia="zh-CN"/>
        </w:rPr>
        <w:t>0</w:t>
      </w:r>
      <w:r>
        <w:rPr>
          <w:rStyle w:val="11"/>
          <w:rFonts w:hint="eastAsia" w:ascii="仿宋_GB2312" w:hAnsi="仿宋_GB2312" w:cs="仿宋_GB2312"/>
          <w:b w:val="0"/>
          <w:color w:val="auto"/>
          <w:spacing w:val="-4"/>
          <w:sz w:val="32"/>
          <w:szCs w:val="30"/>
          <w:highlight w:val="none"/>
        </w:rPr>
        <w:t>万元/人</w:t>
      </w:r>
      <w:r>
        <w:rPr>
          <w:rStyle w:val="11"/>
          <w:rFonts w:hint="eastAsia" w:ascii="仿宋_GB2312" w:hAnsi="仿宋_GB2312" w:cs="仿宋_GB2312"/>
          <w:b w:val="0"/>
          <w:color w:val="auto"/>
          <w:spacing w:val="-4"/>
          <w:sz w:val="32"/>
          <w:szCs w:val="30"/>
          <w:highlight w:val="none"/>
          <w:lang w:val="en-US"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eastAsia="仿宋_GB2312" w:cs="仿宋_GB2312"/>
          <w:b w:val="0"/>
          <w:color w:val="auto"/>
          <w:spacing w:val="-4"/>
          <w:sz w:val="32"/>
          <w:szCs w:val="30"/>
          <w:highlight w:val="none"/>
          <w:lang w:val="en-US" w:eastAsia="zh-CN"/>
        </w:rPr>
      </w:pPr>
      <w:r>
        <w:rPr>
          <w:rStyle w:val="11"/>
          <w:rFonts w:hint="eastAsia" w:ascii="仿宋_GB2312" w:hAnsi="仿宋_GB2312" w:cs="仿宋_GB2312"/>
          <w:b w:val="0"/>
          <w:color w:val="auto"/>
          <w:spacing w:val="-4"/>
          <w:sz w:val="32"/>
          <w:szCs w:val="30"/>
          <w:highlight w:val="none"/>
        </w:rPr>
        <w:t>采购办公用品及设备成本9.8522万元</w:t>
      </w:r>
      <w:r>
        <w:rPr>
          <w:rStyle w:val="11"/>
          <w:rFonts w:hint="eastAsia" w:ascii="仿宋_GB2312" w:hAnsi="仿宋_GB2312" w:cs="仿宋_GB2312"/>
          <w:b w:val="0"/>
          <w:color w:val="auto"/>
          <w:spacing w:val="-4"/>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本项目总投资45万元，主要实施16万元用于电子招标设备及系统采购1套，21.8万元用于单位日常业务工作正常开展，7.2万元用于1名聘用工作人员工资发放。通过实施提升公共资源交易工作质效果，积极助力阿图什市经济社会向好发展</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阶段性目标：本项目总投资45万元，主要实施16万元用于电子招标设备及系统采购1套，21.8万元用于单位日常业务工作正常开展，7.2万元用于1名聘用工作人员工资发放。通过实施提升公共资源交易工作质效果，积极助力阿图什市经济社会向好发展。</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从预算编制合理性、资金使用合规性、项目管理规范性、实施情况、总体绩效目标、各项绩效指标完成情况以及预算执行情况进行科学性评价。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eastAsia="仿宋_GB2312" w:cs="仿宋_GB2312"/>
          <w:b/>
          <w:color w:val="auto"/>
          <w:sz w:val="32"/>
          <w:highlight w:val="none"/>
          <w:lang w:eastAsia="zh-CN"/>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度交易中心场所维护及招投标设备采购运行维护费项目的深入调研基础上，按照《项目支出绩效评价管理办法》（财预〔2021〕10号）对于指标体系的要求和规范，建立一套适合评价2024年度交易中心场所维护及招投标设备采购运行维护费项目的指标体系，从项目决策、项目过程、项目产出和项目绩效四个维度全面考察2024年度交易中心场所维护及招投标设备采购运行维护费项目资金的效益，并重点对于项目的产出和绩效进行总体分析，以达到通过指标体系的科学评价反思管理及决策问题的目标。（见附件1）</w:t>
      </w:r>
    </w:p>
    <w:p>
      <w:pPr>
        <w:numPr>
          <w:ilvl w:val="0"/>
          <w:numId w:val="0"/>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default" w:ascii="仿宋_GB2312" w:hAnsi="仿宋" w:eastAsia="仿宋_GB2312"/>
          <w:b/>
          <w:bCs/>
          <w:color w:val="auto"/>
          <w:kern w:val="2"/>
          <w:sz w:val="32"/>
          <w:szCs w:val="32"/>
          <w:lang w:val="en-US" w:eastAsia="zh-CN" w:bidi="ar-SA"/>
        </w:rPr>
        <w:t>3．</w:t>
      </w: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0"/>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default"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2024年度交易中心场所维护及招投标设备采购运行维护费项目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吴林</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杨新刚</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张慧</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度交易中心场所维护及招投标设备采购运行维护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组织管理、产出与效益效果。在此基础上，以相关的项目数据为基础，综合运用不同的评价方法，结合评价标准和评分规则，2024年度交易中心场所维护及招投标设备采购运行维护费项目综合得分为91.94分，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2024年度交易中心场所维护及招投标设备采购运行维护费项目评价得分情况</w:t>
      </w:r>
    </w:p>
    <w:tbl>
      <w:tblPr>
        <w:tblStyle w:val="12"/>
        <w:tblW w:w="9309" w:type="dxa"/>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trPr>
        <w:tc>
          <w:tcPr>
            <w:tcW w:w="1447" w:type="dxa"/>
            <w:tcBorders>
              <w:top w:val="single" w:color="auto" w:sz="4" w:space="0"/>
              <w:left w:val="single" w:color="auto" w:sz="4" w:space="0"/>
            </w:tcBorders>
            <w:vAlign w:val="center"/>
          </w:tcPr>
          <w:p>
            <w:pPr>
              <w:pStyle w:val="29"/>
              <w:spacing w:line="560" w:lineRule="exact"/>
              <w:ind w:firstLine="546" w:firstLineChars="182"/>
              <w:jc w:val="center"/>
              <w:rPr>
                <w:rFonts w:hint="eastAsia" w:ascii="仿宋_GB2312" w:hAnsi="仿宋_GB2312" w:eastAsia="仿宋_GB2312" w:cs="仿宋_GB2312"/>
                <w:color w:val="auto"/>
                <w:sz w:val="32"/>
                <w:szCs w:val="32"/>
                <w:highlight w:val="none"/>
                <w:lang w:val="en-US" w:eastAsia="zh-CN" w:bidi="ar-SA"/>
              </w:rPr>
            </w:pPr>
            <w:r>
              <w:br w:type="page"/>
            </w: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trPr>
        <w:tc>
          <w:tcPr>
            <w:tcW w:w="1447"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trPr>
        <w:tc>
          <w:tcPr>
            <w:tcW w:w="1447"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380"/>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13.64</w:t>
            </w:r>
            <w:r>
              <w:rPr>
                <w:rFonts w:hint="eastAsia" w:ascii="仿宋_GB2312" w:hAnsi="仿宋_GB2312" w:eastAsia="仿宋_GB2312" w:cs="仿宋_GB2312"/>
                <w:color w:val="auto"/>
                <w:sz w:val="32"/>
                <w:szCs w:val="32"/>
                <w:highlight w:val="none"/>
                <w:lang w:val="en-US" w:eastAsia="zh-CN" w:bidi="ar-SA"/>
              </w:rPr>
              <w:tab/>
            </w:r>
          </w:p>
        </w:tc>
        <w:tc>
          <w:tcPr>
            <w:tcW w:w="3866" w:type="dxa"/>
            <w:tcBorders>
              <w:top w:val="single" w:color="auto" w:sz="4" w:space="0"/>
              <w:left w:val="single" w:color="auto" w:sz="4" w:space="0"/>
              <w:right w:val="single" w:color="auto" w:sz="4" w:space="0"/>
            </w:tcBorders>
            <w:vAlign w:val="bottom"/>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项目预算执行率32.80%。</w:t>
            </w:r>
          </w:p>
        </w:tc>
      </w:tr>
      <w:tr>
        <w:tblPrEx>
          <w:tblLayout w:type="fixed"/>
          <w:tblCellMar>
            <w:top w:w="0" w:type="dxa"/>
            <w:left w:w="10" w:type="dxa"/>
            <w:bottom w:w="0" w:type="dxa"/>
            <w:right w:w="10" w:type="dxa"/>
          </w:tblCellMar>
        </w:tblPrEx>
        <w:trPr>
          <w:trHeight w:val="857" w:hRule="exact"/>
        </w:trPr>
        <w:tc>
          <w:tcPr>
            <w:tcW w:w="1447"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25.30</w:t>
            </w:r>
          </w:p>
        </w:tc>
        <w:tc>
          <w:tcPr>
            <w:tcW w:w="3866" w:type="dxa"/>
            <w:tcBorders>
              <w:top w:val="single" w:color="auto" w:sz="4" w:space="0"/>
              <w:left w:val="single" w:color="auto" w:sz="4" w:space="0"/>
              <w:right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未完成指标数量3个。</w:t>
            </w:r>
          </w:p>
        </w:tc>
      </w:tr>
      <w:tr>
        <w:tblPrEx>
          <w:tblLayout w:type="fixed"/>
          <w:tblCellMar>
            <w:top w:w="0" w:type="dxa"/>
            <w:left w:w="10" w:type="dxa"/>
            <w:bottom w:w="0" w:type="dxa"/>
            <w:right w:w="10" w:type="dxa"/>
          </w:tblCellMar>
        </w:tblPrEx>
        <w:trPr>
          <w:trHeight w:val="763" w:hRule="exact"/>
        </w:trPr>
        <w:tc>
          <w:tcPr>
            <w:tcW w:w="1447" w:type="dxa"/>
            <w:tcBorders>
              <w:top w:val="single" w:color="auto" w:sz="4" w:space="0"/>
              <w:left w:val="single" w:color="auto" w:sz="4" w:space="0"/>
              <w:bottom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trPr>
        <w:tc>
          <w:tcPr>
            <w:tcW w:w="1447" w:type="dxa"/>
            <w:tcBorders>
              <w:top w:val="single" w:color="auto" w:sz="4" w:space="0"/>
              <w:left w:val="single" w:color="auto" w:sz="4" w:space="0"/>
              <w:bottom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91.94</w:t>
            </w:r>
          </w:p>
        </w:tc>
        <w:tc>
          <w:tcPr>
            <w:tcW w:w="386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用于购买电子招投标设备及系统数量1套，采购办公用品及设备数量3批，聘用工作人员1人；通过实施本项目提升公共资源交易工作质效果，积极助力阿图什市经济社会向好发展。</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2024年度交易中心场所维护及招投标设备采购运行维护费项目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14.75</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eastAsia="zh-CN"/>
        </w:rPr>
        <w:t>91.94</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度交易中心场所维护及招投标设备采购运行维护费项目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组织形式，明确了该项目经费的开支范围为用于电子招标设备及系统采购1套，单位日常业务工作正常开展，1名聘用工作人员工资发放，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年初将财政批复的旅发资金预算指标整体导入，对预算指标按照项目分类，从数量、质量、时效、满意度等方面分别进行管理控制，监控、掌握预算实时信息，通过不定期检查预算执行情况，增强预算指标刚性。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（4）严格按照政府采购制度规范实施政府采购。对于需要实施政府采购的活动，严格实施、履行采购手续，根据2024年度交易中心场所维护及招投标设备采购运行维护费项目</w:t>
      </w:r>
      <w:r>
        <w:rPr>
          <w:rFonts w:hint="eastAsia" w:ascii="仿宋_GB2312" w:hAnsi="仿宋_GB2312" w:cs="仿宋_GB2312"/>
          <w:color w:val="auto"/>
          <w:sz w:val="32"/>
          <w:szCs w:val="32"/>
          <w:highlight w:val="none"/>
          <w:lang w:val="en-US" w:eastAsia="zh-CN"/>
        </w:rPr>
        <w:t>的采购</w:t>
      </w:r>
      <w:r>
        <w:rPr>
          <w:rFonts w:hint="eastAsia" w:ascii="仿宋_GB2312" w:hAnsi="仿宋_GB2312" w:cs="仿宋_GB2312"/>
          <w:color w:val="auto"/>
          <w:sz w:val="32"/>
          <w:szCs w:val="32"/>
          <w:highlight w:val="none"/>
        </w:rPr>
        <w:t>需求，选择合规可行的采购形式，</w:t>
      </w:r>
      <w:r>
        <w:rPr>
          <w:rFonts w:hint="eastAsia" w:ascii="仿宋_GB2312" w:hAnsi="仿宋_GB2312" w:cs="仿宋_GB2312"/>
          <w:color w:val="auto"/>
          <w:sz w:val="32"/>
          <w:szCs w:val="32"/>
          <w:highlight w:val="none"/>
          <w:lang w:val="en-US" w:eastAsia="zh-CN"/>
        </w:rPr>
        <w:t>通过政采云平台完成采购任务</w:t>
      </w:r>
      <w:r>
        <w:rPr>
          <w:rFonts w:hint="eastAsia" w:ascii="仿宋_GB2312" w:hAnsi="仿宋_GB2312" w:cs="仿宋_GB2312"/>
          <w:color w:val="auto"/>
          <w:sz w:val="32"/>
          <w:szCs w:val="32"/>
          <w:highlight w:val="none"/>
        </w:rPr>
        <w:t>，将采购政策、采购程序、采购过程规范化、透明化，提升</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资金管理制度，按照不定期检查与项目周期检查相结合的方式，对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资金的使用情况进行监督检查。重点督查</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2024年度交易中心场所维护及招投标设备采购运行维护费项目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数量指标为购买电子招投标设备及系统数量，预期指标值为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1套，实际完成值为1套，指标达到预期目标。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数量指标为采购办公用品及设备数量，预期指标值为大于等于3批，实际完成值为3批，指标达到预期目标。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数量指标为聘用工作人员，预期指标值为大于等于1人，实际完成值为1人，指标达到预期目标。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质量指标为设备及系统合格率，预期指标值为等于100%，实际完成值为100%，指标达到预期目标。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b/>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jc w:val="both"/>
        <w:textAlignment w:val="auto"/>
        <w:rPr>
          <w:rFonts w:hint="eastAsia" w:ascii="仿宋_GB2312"/>
          <w:color w:val="auto"/>
          <w:sz w:val="32"/>
          <w:szCs w:val="32"/>
          <w:highlight w:val="none"/>
          <w:lang w:eastAsia="zh-CN"/>
        </w:rPr>
      </w:pPr>
      <w:r>
        <w:rPr>
          <w:rFonts w:hint="eastAsia" w:ascii="仿宋_GB2312"/>
          <w:color w:val="auto"/>
          <w:sz w:val="32"/>
          <w:szCs w:val="32"/>
          <w:highlight w:val="none"/>
        </w:rPr>
        <w:t>时效指标为项目完成时间，预期指标值为2024年12月，实际完成值为2024年12月，指标达到预期目标。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b/>
          <w:color w:val="auto"/>
          <w:sz w:val="32"/>
          <w:szCs w:val="32"/>
          <w:highlight w:val="none"/>
        </w:rPr>
      </w:pPr>
      <w:r>
        <w:rPr>
          <w:rFonts w:hint="eastAsia" w:ascii="仿宋_GB2312"/>
          <w:b/>
          <w:bCs/>
          <w:color w:val="auto"/>
          <w:kern w:val="2"/>
          <w:sz w:val="32"/>
          <w:szCs w:val="32"/>
          <w:lang w:val="en-US" w:eastAsia="zh-CN" w:bidi="ar-SA"/>
        </w:rPr>
        <w:t>4</w:t>
      </w:r>
      <w:r>
        <w:rPr>
          <w:rFonts w:hint="default" w:ascii="仿宋_GB2312" w:eastAsia="仿宋_GB2312"/>
          <w:b/>
          <w:bCs/>
          <w:color w:val="auto"/>
          <w:kern w:val="2"/>
          <w:sz w:val="32"/>
          <w:szCs w:val="32"/>
          <w:lang w:val="en-US" w:eastAsia="zh-CN" w:bidi="ar-SA"/>
        </w:rPr>
        <w:t>．</w:t>
      </w:r>
      <w:r>
        <w:rPr>
          <w:rFonts w:hint="eastAsia" w:ascii="仿宋_GB2312"/>
          <w:b/>
          <w:color w:val="auto"/>
          <w:sz w:val="32"/>
          <w:szCs w:val="32"/>
          <w:highlight w:val="none"/>
        </w:rPr>
        <w:t>成本指标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电子招投标设备及系统采购成本，预期指标值为小于等于16万元，实际完成值为3.7万元，成本指标未达到预期目标。原因：项目部分支出资料及手续不完整，导致指标未能完成；措施：下一年度做好项目管理工作，及时收集、完善支出资料，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聘请工作人员工资标准，预期指标值为小于等于7.20万元/人，实际完成值为1.2万元/人，成本指标未达到预期目标。原因：项目部分支出资料及手续不完整，导致指标未能完成；措施：下一年度做好项目管理工作，及时收集、完善支出资料，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采购办公用品及设备成本，预期指标值为小于等于21.80万元，实际完成值为9.8522万元，成本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（四）项目效益情况</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hAnsi="Times New Roman" w:cs="Times New Roman"/>
          <w:b/>
          <w:color w:val="auto"/>
          <w:sz w:val="32"/>
          <w:szCs w:val="32"/>
          <w:highlight w:val="none"/>
        </w:rPr>
      </w:pPr>
      <w:r>
        <w:rPr>
          <w:rFonts w:hint="eastAsia" w:ascii="仿宋_GB2312" w:hAnsi="Times New Roman" w:cs="Times New Roman"/>
          <w:b/>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bCs/>
          <w:color w:val="auto"/>
          <w:sz w:val="32"/>
          <w:szCs w:val="32"/>
          <w:highlight w:val="none"/>
        </w:rPr>
      </w:pPr>
      <w:r>
        <w:rPr>
          <w:rFonts w:hint="eastAsia" w:ascii="仿宋_GB2312"/>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项目实施产生的社会效益指标为提升公共资源交易工作质效，预期指标值为显著提升，实际完成值为显著提升，指标达到预期目标。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bCs/>
          <w:color w:val="auto"/>
          <w:sz w:val="32"/>
          <w:szCs w:val="32"/>
          <w:highlight w:val="none"/>
        </w:rPr>
      </w:pPr>
      <w:r>
        <w:rPr>
          <w:rFonts w:hint="eastAsia" w:ascii="仿宋_GB2312"/>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bCs/>
          <w:color w:val="auto"/>
          <w:sz w:val="32"/>
          <w:szCs w:val="32"/>
          <w:highlight w:val="none"/>
        </w:rPr>
      </w:pPr>
      <w:r>
        <w:rPr>
          <w:rFonts w:hint="eastAsia" w:ascii="仿宋_GB2312"/>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满意度指标为单位干部职工满意，预期指标值为大于等于98%，经问卷调查，实际完成值为98%，指标达到预期目标。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cs="Times New Roman"/>
          <w:b/>
          <w:bCs/>
          <w:color w:val="auto"/>
          <w:sz w:val="32"/>
          <w:szCs w:val="32"/>
          <w:highlight w:val="none"/>
        </w:rPr>
      </w:pPr>
      <w:r>
        <w:rPr>
          <w:rFonts w:hint="eastAsia" w:ascii="楷体" w:hAnsi="楷体" w:eastAsia="楷体" w:cs="Times New Roman"/>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w:t>
      </w:r>
      <w:r>
        <w:rPr>
          <w:rFonts w:hint="eastAsia"/>
          <w:b w:val="0"/>
          <w:color w:val="auto"/>
          <w:highlight w:val="none"/>
          <w:lang w:val="en-US" w:eastAsia="zh-CN"/>
        </w:rPr>
        <w:t>采用</w:t>
      </w:r>
      <w:r>
        <w:rPr>
          <w:rFonts w:hint="eastAsia"/>
          <w:b w:val="0"/>
          <w:color w:val="auto"/>
          <w:highlight w:val="none"/>
        </w:rPr>
        <w:t>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本项目全年预算</w:t>
      </w:r>
      <w:r>
        <w:rPr>
          <w:rFonts w:hint="eastAsia" w:ascii="Times New Roman" w:hAnsi="Times New Roman" w:cs="Times New Roman"/>
          <w:color w:val="auto"/>
          <w:sz w:val="32"/>
          <w:highlight w:val="none"/>
        </w:rPr>
        <w:t>数45万元，</w:t>
      </w:r>
      <w:r>
        <w:rPr>
          <w:rFonts w:hint="eastAsia"/>
          <w:color w:val="auto"/>
          <w:sz w:val="32"/>
          <w:highlight w:val="none"/>
        </w:rPr>
        <w:t>执行数14.75万元，执行率32.80%，绩效指标完成率78.50%，偏差率45.70%。偏差原因：项目部分支出资料及手续不完整，导致指标未能完成。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经济成本指标</w:t>
      </w:r>
      <w:r>
        <w:rPr>
          <w:rFonts w:hint="eastAsia"/>
          <w:color w:val="auto"/>
          <w:sz w:val="32"/>
          <w:highlight w:val="none"/>
          <w:lang w:eastAsia="zh-CN"/>
        </w:rPr>
        <w:t>“</w:t>
      </w:r>
      <w:r>
        <w:rPr>
          <w:rFonts w:hint="eastAsia"/>
          <w:color w:val="auto"/>
          <w:sz w:val="32"/>
          <w:highlight w:val="none"/>
        </w:rPr>
        <w:t>电子招投标设备及系统采购成本</w:t>
      </w:r>
      <w:r>
        <w:rPr>
          <w:rFonts w:hint="eastAsia"/>
          <w:color w:val="auto"/>
          <w:sz w:val="32"/>
          <w:highlight w:val="none"/>
          <w:lang w:eastAsia="zh-CN"/>
        </w:rPr>
        <w:t>”“</w:t>
      </w:r>
      <w:r>
        <w:rPr>
          <w:rFonts w:hint="eastAsia"/>
          <w:color w:val="auto"/>
          <w:sz w:val="32"/>
          <w:highlight w:val="none"/>
        </w:rPr>
        <w:t>聘请工作人员工资标准</w:t>
      </w:r>
      <w:r>
        <w:rPr>
          <w:rFonts w:hint="eastAsia"/>
          <w:color w:val="auto"/>
          <w:sz w:val="32"/>
          <w:highlight w:val="none"/>
          <w:lang w:eastAsia="zh-CN"/>
        </w:rPr>
        <w:t>”“</w:t>
      </w:r>
      <w:r>
        <w:rPr>
          <w:rFonts w:hint="eastAsia"/>
          <w:color w:val="auto"/>
          <w:sz w:val="32"/>
          <w:highlight w:val="none"/>
        </w:rPr>
        <w:t>采购办公用品及设备成本</w:t>
      </w:r>
      <w:r>
        <w:rPr>
          <w:rFonts w:hint="eastAsia"/>
          <w:color w:val="auto"/>
          <w:sz w:val="32"/>
          <w:highlight w:val="none"/>
          <w:lang w:eastAsia="zh-CN"/>
        </w:rPr>
        <w:t>”</w:t>
      </w:r>
      <w:r>
        <w:rPr>
          <w:rFonts w:hint="eastAsia"/>
          <w:color w:val="auto"/>
          <w:sz w:val="32"/>
          <w:highlight w:val="none"/>
        </w:rPr>
        <w:t>成本指标未达到预期目标</w:t>
      </w:r>
      <w:r>
        <w:rPr>
          <w:rFonts w:hint="eastAsia"/>
          <w:color w:val="auto"/>
          <w:sz w:val="32"/>
          <w:highlight w:val="none"/>
          <w:lang w:val="en-US" w:eastAsia="zh-CN"/>
        </w:rPr>
        <w:t>的</w:t>
      </w:r>
      <w:r>
        <w:rPr>
          <w:rFonts w:hint="eastAsia"/>
          <w:color w:val="auto"/>
          <w:sz w:val="32"/>
          <w:highlight w:val="none"/>
        </w:rPr>
        <w:t>原因</w:t>
      </w:r>
      <w:r>
        <w:rPr>
          <w:rFonts w:hint="eastAsia"/>
          <w:color w:val="auto"/>
          <w:sz w:val="32"/>
          <w:highlight w:val="none"/>
          <w:lang w:val="en-US" w:eastAsia="zh-CN"/>
        </w:rPr>
        <w:t>是：</w:t>
      </w:r>
      <w:r>
        <w:rPr>
          <w:rFonts w:hint="eastAsia"/>
          <w:color w:val="auto"/>
          <w:sz w:val="32"/>
          <w:highlight w:val="none"/>
        </w:rPr>
        <w:t>项目部分支出资料及手续不完整，导致指标未能完成；</w:t>
      </w:r>
      <w:r>
        <w:rPr>
          <w:rFonts w:hint="eastAsia"/>
          <w:color w:val="auto"/>
          <w:sz w:val="32"/>
          <w:highlight w:val="none"/>
          <w:lang w:val="en-US" w:eastAsia="zh-CN"/>
        </w:rPr>
        <w:t>下一步</w:t>
      </w:r>
      <w:r>
        <w:rPr>
          <w:rFonts w:hint="eastAsia"/>
          <w:color w:val="auto"/>
          <w:sz w:val="32"/>
          <w:highlight w:val="none"/>
        </w:rPr>
        <w:t>措施</w:t>
      </w:r>
      <w:r>
        <w:rPr>
          <w:rFonts w:hint="eastAsia"/>
          <w:color w:val="auto"/>
          <w:sz w:val="32"/>
          <w:highlight w:val="none"/>
          <w:lang w:val="en-US" w:eastAsia="zh-CN"/>
        </w:rPr>
        <w:t>为</w:t>
      </w:r>
      <w:r>
        <w:rPr>
          <w:rFonts w:hint="eastAsia"/>
          <w:color w:val="auto"/>
          <w:sz w:val="32"/>
          <w:highlight w:val="none"/>
        </w:rPr>
        <w:t>下一年度做好项目管理工作，及时收集、完善支出资料，减少偏差。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default" w:eastAsia="仿宋_GB2312"/>
          <w:color w:val="auto"/>
          <w:highlight w:val="none"/>
          <w:lang w:val="en-US" w:eastAsia="zh-CN"/>
        </w:rPr>
      </w:pPr>
      <w:r>
        <w:rPr>
          <w:rFonts w:hint="eastAsia"/>
          <w:color w:val="auto"/>
          <w:highlight w:val="none"/>
          <w:lang w:val="en-US" w:eastAsia="zh-CN"/>
        </w:rPr>
        <w:t>无。</w:t>
      </w: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1.64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rPr>
              <w:t>9</w:t>
            </w:r>
            <w:r>
              <w:rPr>
                <w:rFonts w:hint="eastAsia" w:ascii="仿宋_GB2312" w:hAnsi="仿宋_GB2312" w:cs="仿宋_GB2312"/>
                <w:color w:val="auto"/>
                <w:kern w:val="0"/>
                <w:sz w:val="24"/>
                <w:highlight w:val="none"/>
                <w:lang w:val="en-US" w:eastAsia="zh-CN"/>
              </w:rPr>
              <w:t>1.94</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3105"/>
    <w:multiLevelType w:val="multilevel"/>
    <w:tmpl w:val="68CD3105"/>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D4234E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A71DBE6418E0483F99014AAEA3A5BB3A_13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f3f4fc-2d80-4e97-b34c-529df0b223f5}">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167</Words>
  <Characters>183</Characters>
  <Lines>56</Lines>
  <Paragraphs>15</Paragraphs>
  <TotalTime>6</TotalTime>
  <ScaleCrop>false</ScaleCrop>
  <LinksUpToDate>false</LinksUpToDate>
  <CharactersWithSpaces>184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2025-09-19T10:30:59Z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A71DBE6418E0483F99014AAEA3A5BB3A_13</vt:lpwstr>
  </property>
  <property fmtid="{D5CDD505-2E9C-101B-9397-08002B2CF9AE}" pid="4" name="KSOTemplateDocerSaveRecord">
    <vt:lpwstr>eyJoZGlkIjoiNDI0NDJkOGYwMTkzMjYxMzMxMmY2Njg1ZjNkYzk2MzkiLCJ1c2VySWQiOiIzMzAyMjM5MTcifQ_x003D__x003D_</vt:lpwstr>
  </property>
</Properties>
</file>