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阿图什市敬老院2024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E598CF9">
      <w:r>
        <w:br w:type="page"/>
      </w:r>
    </w:p>
    <w:p w14:paraId="7D8D9A85">
      <w:pPr>
        <w:spacing w:line="640" w:lineRule="exact"/>
        <w:jc w:val="center"/>
        <w:outlineLvl w:val="1"/>
      </w:pPr>
      <w:r>
        <w:rPr>
          <w:rFonts w:ascii="黑体" w:hAnsi="黑体" w:eastAsia="黑体"/>
          <w:sz w:val="32"/>
        </w:rPr>
        <w:t>第一部分 单位概况</w:t>
      </w:r>
    </w:p>
    <w:p w14:paraId="70CC10CB">
      <w:pPr>
        <w:spacing w:line="640" w:lineRule="exact"/>
        <w:ind w:firstLine="640"/>
        <w:jc w:val="both"/>
        <w:outlineLvl w:val="2"/>
      </w:pPr>
      <w:r>
        <w:rPr>
          <w:rFonts w:ascii="黑体" w:hAnsi="黑体" w:eastAsia="黑体"/>
          <w:sz w:val="32"/>
        </w:rPr>
        <w:t>一、主要职能</w:t>
      </w:r>
    </w:p>
    <w:p w14:paraId="25D63397">
      <w:pPr>
        <w:spacing w:line="580" w:lineRule="exact"/>
        <w:ind w:firstLine="640"/>
        <w:jc w:val="both"/>
      </w:pPr>
      <w:r>
        <w:rPr>
          <w:rFonts w:ascii="仿宋_GB2312" w:hAnsi="仿宋_GB2312" w:eastAsia="仿宋_GB2312"/>
          <w:sz w:val="32"/>
        </w:rPr>
        <w:t>热爱敬老院事业、树立以院为家的思想，积极开展种植、养殖等多种经营生产劳动，带头发展庭院经济、组织院民参加力所能及的生产劳动。搞好卫生、安全知识宣传工作，经常给院民讲述安全、卫生常识、成立卫生、安全、生产小组</w:t>
      </w:r>
      <w:r>
        <w:rPr>
          <w:rFonts w:hint="eastAsia" w:ascii="仿宋_GB2312" w:hAnsi="仿宋_GB2312" w:eastAsia="仿宋_GB2312"/>
          <w:sz w:val="32"/>
          <w:lang w:eastAsia="zh-CN"/>
        </w:rPr>
        <w:t>，负责</w:t>
      </w:r>
      <w:r>
        <w:rPr>
          <w:rFonts w:ascii="仿宋_GB2312" w:hAnsi="仿宋_GB2312" w:eastAsia="仿宋_GB2312"/>
          <w:sz w:val="32"/>
        </w:rPr>
        <w:t>院内院外安全、卫生、消毒等检查、评比工作。抓好敬老院经济、组织院民开展形式多样的</w:t>
      </w:r>
      <w:r>
        <w:rPr>
          <w:rFonts w:hint="eastAsia" w:ascii="仿宋_GB2312" w:hAnsi="仿宋_GB2312" w:eastAsia="仿宋_GB2312"/>
          <w:sz w:val="32"/>
          <w:lang w:eastAsia="zh-CN"/>
        </w:rPr>
        <w:t>文体活动</w:t>
      </w:r>
      <w:r>
        <w:rPr>
          <w:rFonts w:ascii="仿宋_GB2312" w:hAnsi="仿宋_GB2312" w:eastAsia="仿宋_GB2312"/>
          <w:sz w:val="32"/>
        </w:rPr>
        <w:t>，协助抓好院内环境卫生，协助老人搞好房间及个人卫生，完成好领导交办的其他</w:t>
      </w:r>
      <w:r>
        <w:rPr>
          <w:rFonts w:hint="eastAsia" w:ascii="仿宋_GB2312" w:hAnsi="仿宋_GB2312" w:eastAsia="仿宋_GB2312"/>
          <w:sz w:val="32"/>
          <w:lang w:eastAsia="zh-CN"/>
        </w:rPr>
        <w:t>工作</w:t>
      </w:r>
      <w:r>
        <w:rPr>
          <w:rFonts w:ascii="仿宋_GB2312" w:hAnsi="仿宋_GB2312" w:eastAsia="仿宋_GB2312"/>
          <w:sz w:val="32"/>
        </w:rPr>
        <w:t>。</w:t>
      </w:r>
    </w:p>
    <w:p w14:paraId="0EF48317">
      <w:pPr>
        <w:spacing w:line="640" w:lineRule="exact"/>
        <w:ind w:firstLine="640"/>
        <w:jc w:val="both"/>
        <w:outlineLvl w:val="2"/>
      </w:pPr>
      <w:r>
        <w:rPr>
          <w:rFonts w:ascii="黑体" w:hAnsi="黑体" w:eastAsia="黑体"/>
          <w:sz w:val="32"/>
        </w:rPr>
        <w:t>二、机构设置及人员情况</w:t>
      </w:r>
    </w:p>
    <w:p w14:paraId="2AE42A44">
      <w:pPr>
        <w:spacing w:line="580" w:lineRule="exact"/>
        <w:ind w:firstLine="640"/>
        <w:jc w:val="both"/>
      </w:pPr>
      <w:r>
        <w:rPr>
          <w:rFonts w:ascii="仿宋_GB2312" w:hAnsi="仿宋_GB2312" w:eastAsia="仿宋_GB2312"/>
          <w:sz w:val="32"/>
        </w:rPr>
        <w:t>阿图什市敬老院2024年度，实有人数1人，其中：在职人员1人，增加0人；离休人员0人，增加0人；退休人员0人,增加0人。</w:t>
      </w:r>
    </w:p>
    <w:p w14:paraId="07D1A9D4">
      <w:pPr>
        <w:spacing w:line="580" w:lineRule="exact"/>
        <w:ind w:firstLine="640"/>
        <w:jc w:val="both"/>
      </w:pPr>
      <w:r>
        <w:rPr>
          <w:rFonts w:ascii="仿宋_GB2312" w:hAnsi="仿宋_GB2312" w:eastAsia="仿宋_GB2312"/>
          <w:sz w:val="32"/>
        </w:rPr>
        <w:t>阿图什市敬老院无下属预算单位，下设4个科室，分别是：办公室、护理室、财务室、医务室。</w:t>
      </w:r>
    </w:p>
    <w:p w14:paraId="062A3A94">
      <w:r>
        <w:br w:type="page"/>
      </w:r>
    </w:p>
    <w:p w14:paraId="4276166E">
      <w:pPr>
        <w:spacing w:line="240" w:lineRule="auto"/>
        <w:jc w:val="center"/>
        <w:outlineLvl w:val="1"/>
      </w:pPr>
      <w:r>
        <w:rPr>
          <w:rFonts w:ascii="黑体" w:hAnsi="黑体" w:eastAsia="黑体"/>
          <w:sz w:val="32"/>
        </w:rPr>
        <w:t>第二部分 部门决算情况说明</w:t>
      </w:r>
    </w:p>
    <w:p w14:paraId="6A9DB3F7">
      <w:pPr>
        <w:spacing w:line="640" w:lineRule="exact"/>
        <w:ind w:firstLine="640"/>
        <w:jc w:val="both"/>
        <w:outlineLvl w:val="2"/>
      </w:pPr>
      <w:r>
        <w:rPr>
          <w:rFonts w:ascii="黑体" w:hAnsi="黑体" w:eastAsia="黑体"/>
          <w:sz w:val="32"/>
        </w:rPr>
        <w:t>一、收入支出决算总体情况说明</w:t>
      </w:r>
    </w:p>
    <w:p w14:paraId="798B8627">
      <w:pPr>
        <w:spacing w:line="580" w:lineRule="exact"/>
        <w:ind w:firstLine="640"/>
        <w:jc w:val="both"/>
      </w:pPr>
      <w:r>
        <w:rPr>
          <w:rFonts w:ascii="仿宋_GB2312" w:hAnsi="仿宋_GB2312" w:eastAsia="仿宋_GB2312"/>
          <w:b/>
          <w:sz w:val="32"/>
        </w:rPr>
        <w:t>2024年度收入总计197.79万元，</w:t>
      </w:r>
      <w:r>
        <w:rPr>
          <w:rFonts w:ascii="仿宋_GB2312" w:hAnsi="仿宋_GB2312" w:eastAsia="仿宋_GB2312"/>
          <w:b w:val="0"/>
          <w:sz w:val="32"/>
        </w:rPr>
        <w:t>其中：本年收入合计169.94万元，使用非财政拨款结余（含专用结余）0.00万元，年初结转和结余27.85万元。</w:t>
      </w:r>
    </w:p>
    <w:p w14:paraId="78E6294B">
      <w:pPr>
        <w:spacing w:line="580" w:lineRule="exact"/>
        <w:ind w:firstLine="640"/>
        <w:jc w:val="both"/>
      </w:pPr>
      <w:r>
        <w:rPr>
          <w:rFonts w:ascii="仿宋_GB2312" w:hAnsi="仿宋_GB2312" w:eastAsia="仿宋_GB2312"/>
          <w:b/>
          <w:sz w:val="32"/>
        </w:rPr>
        <w:t>2024年度支出总计197.79万元，</w:t>
      </w:r>
      <w:r>
        <w:rPr>
          <w:rFonts w:ascii="仿宋_GB2312" w:hAnsi="仿宋_GB2312" w:eastAsia="仿宋_GB2312"/>
          <w:b w:val="0"/>
          <w:sz w:val="32"/>
        </w:rPr>
        <w:t>其中：本年支出合计190.02万元，结余分配0.00万元，年末结转和结余7.77万元。</w:t>
      </w:r>
    </w:p>
    <w:p w14:paraId="02C5EF1E">
      <w:pPr>
        <w:spacing w:line="580" w:lineRule="exact"/>
        <w:ind w:firstLine="640"/>
        <w:jc w:val="both"/>
      </w:pPr>
      <w:r>
        <w:rPr>
          <w:rFonts w:ascii="仿宋_GB2312" w:hAnsi="仿宋_GB2312" w:eastAsia="仿宋_GB2312"/>
          <w:b w:val="0"/>
          <w:sz w:val="32"/>
        </w:rPr>
        <w:t>收入支出总体与上年相比，减少29.10万元，下降12.83%，主要原因是：本年减少城市特困人员救助供养支出、“双集中”补助资金。</w:t>
      </w:r>
    </w:p>
    <w:p w14:paraId="3C2DF9EA">
      <w:pPr>
        <w:spacing w:line="640" w:lineRule="exact"/>
        <w:ind w:firstLine="640"/>
        <w:jc w:val="both"/>
        <w:outlineLvl w:val="2"/>
      </w:pPr>
      <w:r>
        <w:rPr>
          <w:rFonts w:ascii="黑体" w:hAnsi="黑体" w:eastAsia="黑体"/>
          <w:sz w:val="32"/>
        </w:rPr>
        <w:t>二、收入决算情况说明</w:t>
      </w:r>
    </w:p>
    <w:p w14:paraId="2768D7F9">
      <w:pPr>
        <w:spacing w:line="580" w:lineRule="exact"/>
        <w:ind w:firstLine="640"/>
        <w:jc w:val="both"/>
      </w:pPr>
      <w:r>
        <w:rPr>
          <w:rFonts w:ascii="仿宋_GB2312" w:hAnsi="仿宋_GB2312" w:eastAsia="仿宋_GB2312"/>
          <w:b/>
          <w:sz w:val="32"/>
        </w:rPr>
        <w:t>本年收入169.94万元，</w:t>
      </w:r>
      <w:r>
        <w:rPr>
          <w:rFonts w:ascii="仿宋_GB2312" w:hAnsi="仿宋_GB2312" w:eastAsia="仿宋_GB2312"/>
          <w:b w:val="0"/>
          <w:sz w:val="32"/>
        </w:rPr>
        <w:t>其中：财政拨款收入169.94万元，占100.00%；上级补助收入0.00万元，占0.00%；事业收入0.00万元，占0.00%；经营收入0.00万元，占0.00%；附属单位上缴收入0.00万元，占0.00%；其他收入0.00万元，占0.00%。</w:t>
      </w:r>
    </w:p>
    <w:p w14:paraId="1A12082C">
      <w:pPr>
        <w:spacing w:line="640" w:lineRule="exact"/>
        <w:ind w:firstLine="640"/>
        <w:jc w:val="both"/>
        <w:outlineLvl w:val="2"/>
      </w:pPr>
      <w:r>
        <w:rPr>
          <w:rFonts w:ascii="黑体" w:hAnsi="黑体" w:eastAsia="黑体"/>
          <w:sz w:val="32"/>
        </w:rPr>
        <w:t>三、支出决算情况说明</w:t>
      </w:r>
    </w:p>
    <w:p w14:paraId="11C648E3">
      <w:pPr>
        <w:spacing w:line="580" w:lineRule="exact"/>
        <w:ind w:firstLine="640"/>
        <w:jc w:val="both"/>
      </w:pPr>
      <w:r>
        <w:rPr>
          <w:rFonts w:ascii="仿宋_GB2312" w:hAnsi="仿宋_GB2312" w:eastAsia="仿宋_GB2312"/>
          <w:b/>
          <w:sz w:val="32"/>
        </w:rPr>
        <w:t>本年支出190.02万元，</w:t>
      </w:r>
      <w:r>
        <w:rPr>
          <w:rFonts w:ascii="仿宋_GB2312" w:hAnsi="仿宋_GB2312" w:eastAsia="仿宋_GB2312"/>
          <w:b w:val="0"/>
          <w:sz w:val="32"/>
        </w:rPr>
        <w:t>其中：基本支出37.89万元，占19.94%；项目支出152.13万元，占80.06%；上缴上级支出0.00万元，占0.00%；经营支出0.00万元，占0.00%；对附属单位补助支出0.00万元，占0.00%。</w:t>
      </w:r>
    </w:p>
    <w:p w14:paraId="6789FF0E">
      <w:pPr>
        <w:spacing w:line="640" w:lineRule="exact"/>
        <w:ind w:firstLine="640"/>
        <w:jc w:val="both"/>
        <w:outlineLvl w:val="2"/>
      </w:pPr>
      <w:r>
        <w:rPr>
          <w:rFonts w:ascii="黑体" w:hAnsi="黑体" w:eastAsia="黑体"/>
          <w:sz w:val="32"/>
        </w:rPr>
        <w:t>四、财政拨款收入支出决算总体情况说明</w:t>
      </w:r>
    </w:p>
    <w:p w14:paraId="329FF96B">
      <w:pPr>
        <w:spacing w:line="580" w:lineRule="exact"/>
        <w:ind w:firstLine="640"/>
        <w:jc w:val="both"/>
      </w:pPr>
      <w:r>
        <w:rPr>
          <w:rFonts w:ascii="仿宋_GB2312" w:hAnsi="仿宋_GB2312" w:eastAsia="仿宋_GB2312"/>
          <w:b/>
          <w:sz w:val="32"/>
        </w:rPr>
        <w:t>2024年度财政拨款收入总计169.94万元，</w:t>
      </w:r>
      <w:r>
        <w:rPr>
          <w:rFonts w:ascii="仿宋_GB2312" w:hAnsi="仿宋_GB2312" w:eastAsia="仿宋_GB2312"/>
          <w:b w:val="0"/>
          <w:sz w:val="32"/>
        </w:rPr>
        <w:t>其中：年初财政拨款结转和结余0.00万元，本年财政拨款收入169.94万元。</w:t>
      </w:r>
      <w:r>
        <w:rPr>
          <w:rFonts w:ascii="仿宋_GB2312" w:hAnsi="仿宋_GB2312" w:eastAsia="仿宋_GB2312"/>
          <w:b/>
          <w:sz w:val="32"/>
        </w:rPr>
        <w:t>财政拨款支出总计169.94万元，</w:t>
      </w:r>
      <w:r>
        <w:rPr>
          <w:rFonts w:ascii="仿宋_GB2312" w:hAnsi="仿宋_GB2312" w:eastAsia="仿宋_GB2312"/>
          <w:b w:val="0"/>
          <w:sz w:val="32"/>
        </w:rPr>
        <w:t>其中：年末财政拨款结转和结余0.00万元，本年财政拨款支出169.94万元。</w:t>
      </w:r>
    </w:p>
    <w:p w14:paraId="1A3FF10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减少40.39万元，下降19.20%，主要原因是：本年减少城市特困人员救助供养支出、“双集中”补助资金。</w:t>
      </w:r>
      <w:r>
        <w:rPr>
          <w:rFonts w:ascii="仿宋_GB2312" w:hAnsi="仿宋_GB2312" w:eastAsia="仿宋_GB2312"/>
          <w:b/>
          <w:sz w:val="32"/>
        </w:rPr>
        <w:t>与年初预算相比，</w:t>
      </w:r>
      <w:r>
        <w:rPr>
          <w:rFonts w:ascii="仿宋_GB2312" w:hAnsi="仿宋_GB2312" w:eastAsia="仿宋_GB2312"/>
          <w:b w:val="0"/>
          <w:sz w:val="32"/>
        </w:rPr>
        <w:t>年初预算数183.02万元，决算数169.94万元，预决算差异率-7.15%，主要原因是：年中调减城市特困人员救助供养支出、“双集中”补助资金，导致预决算存在差异。</w:t>
      </w:r>
    </w:p>
    <w:p w14:paraId="36CAED3C">
      <w:pPr>
        <w:spacing w:line="640" w:lineRule="exact"/>
        <w:ind w:firstLine="640"/>
        <w:jc w:val="both"/>
        <w:outlineLvl w:val="2"/>
      </w:pPr>
      <w:r>
        <w:rPr>
          <w:rFonts w:ascii="黑体" w:hAnsi="黑体" w:eastAsia="黑体"/>
          <w:sz w:val="32"/>
        </w:rPr>
        <w:t>五、一般公共预算财政拨款支出决算情况说明</w:t>
      </w:r>
    </w:p>
    <w:p w14:paraId="35B774DE">
      <w:pPr>
        <w:spacing w:line="640" w:lineRule="exact"/>
        <w:ind w:firstLine="640"/>
        <w:jc w:val="both"/>
        <w:outlineLvl w:val="3"/>
      </w:pPr>
      <w:r>
        <w:rPr>
          <w:rFonts w:ascii="楷体_GB2312" w:hAnsi="楷体_GB2312" w:eastAsia="楷体_GB2312"/>
          <w:b/>
          <w:sz w:val="32"/>
        </w:rPr>
        <w:t>（一）一般公共预算财政拨款支出决算总体情况</w:t>
      </w:r>
    </w:p>
    <w:p w14:paraId="3380E1FB">
      <w:pPr>
        <w:spacing w:line="580" w:lineRule="exact"/>
        <w:ind w:firstLine="640"/>
        <w:jc w:val="both"/>
      </w:pPr>
      <w:r>
        <w:rPr>
          <w:rFonts w:ascii="仿宋_GB2312" w:hAnsi="仿宋_GB2312" w:eastAsia="仿宋_GB2312"/>
          <w:b/>
          <w:sz w:val="32"/>
        </w:rPr>
        <w:t>2024年度一般公共预算财政拨款支出160.22万元，</w:t>
      </w:r>
      <w:r>
        <w:rPr>
          <w:rFonts w:ascii="仿宋_GB2312" w:hAnsi="仿宋_GB2312" w:eastAsia="仿宋_GB2312"/>
          <w:b w:val="0"/>
          <w:sz w:val="32"/>
        </w:rPr>
        <w:t>占本年支出合计的84.32%。</w:t>
      </w:r>
      <w:r>
        <w:rPr>
          <w:rFonts w:ascii="仿宋_GB2312" w:hAnsi="仿宋_GB2312" w:eastAsia="仿宋_GB2312"/>
          <w:b/>
          <w:sz w:val="32"/>
        </w:rPr>
        <w:t>与上年相比，</w:t>
      </w:r>
      <w:r>
        <w:rPr>
          <w:rFonts w:ascii="仿宋_GB2312" w:hAnsi="仿宋_GB2312" w:eastAsia="仿宋_GB2312"/>
          <w:b w:val="0"/>
          <w:sz w:val="32"/>
        </w:rPr>
        <w:t>减少27.84万元，下降14.80%，主要原因是：本年减少城市特困人员救助供养支出、“双集中”补助资金。</w:t>
      </w:r>
      <w:r>
        <w:rPr>
          <w:rFonts w:ascii="仿宋_GB2312" w:hAnsi="仿宋_GB2312" w:eastAsia="仿宋_GB2312"/>
          <w:b/>
          <w:sz w:val="32"/>
        </w:rPr>
        <w:t>与年初预算相比,</w:t>
      </w:r>
      <w:r>
        <w:rPr>
          <w:rFonts w:ascii="仿宋_GB2312" w:hAnsi="仿宋_GB2312" w:eastAsia="仿宋_GB2312"/>
          <w:b w:val="0"/>
          <w:sz w:val="32"/>
        </w:rPr>
        <w:t>年初预算数182.70万元，决算数160.22万元，预决算差异率-12.30%，主要原因是：年中调减城市特困人员救助供养支出、“双集中”补助资金，导致预决算存在差异。</w:t>
      </w:r>
    </w:p>
    <w:p w14:paraId="137491E8">
      <w:pPr>
        <w:spacing w:line="640" w:lineRule="exact"/>
        <w:ind w:firstLine="640"/>
        <w:jc w:val="both"/>
        <w:outlineLvl w:val="3"/>
      </w:pPr>
      <w:r>
        <w:rPr>
          <w:rFonts w:ascii="楷体_GB2312" w:hAnsi="楷体_GB2312" w:eastAsia="楷体_GB2312"/>
          <w:b/>
          <w:sz w:val="32"/>
        </w:rPr>
        <w:t>（二）一般公共预算财政拨款支出决算结构情况</w:t>
      </w:r>
    </w:p>
    <w:p w14:paraId="7F7688AA">
      <w:pPr>
        <w:spacing w:line="580" w:lineRule="exact"/>
        <w:ind w:firstLine="640"/>
        <w:jc w:val="both"/>
      </w:pPr>
      <w:r>
        <w:rPr>
          <w:rFonts w:ascii="仿宋_GB2312" w:hAnsi="仿宋_GB2312" w:eastAsia="仿宋_GB2312"/>
          <w:b w:val="0"/>
          <w:sz w:val="32"/>
        </w:rPr>
        <w:t>1.社会保障和就业支出(类)158.57万元,占98.97%。</w:t>
      </w:r>
    </w:p>
    <w:p w14:paraId="3A689117">
      <w:pPr>
        <w:spacing w:line="580" w:lineRule="exact"/>
        <w:ind w:firstLine="640"/>
        <w:jc w:val="both"/>
      </w:pPr>
      <w:r>
        <w:rPr>
          <w:rFonts w:ascii="仿宋_GB2312" w:hAnsi="仿宋_GB2312" w:eastAsia="仿宋_GB2312"/>
          <w:b w:val="0"/>
          <w:sz w:val="32"/>
        </w:rPr>
        <w:t>2.卫生健康支出(类)0.46万元,占0.29%。</w:t>
      </w:r>
    </w:p>
    <w:p w14:paraId="089AD424">
      <w:pPr>
        <w:spacing w:line="580" w:lineRule="exact"/>
        <w:ind w:firstLine="640"/>
        <w:jc w:val="both"/>
      </w:pPr>
      <w:r>
        <w:rPr>
          <w:rFonts w:ascii="仿宋_GB2312" w:hAnsi="仿宋_GB2312" w:eastAsia="仿宋_GB2312"/>
          <w:b w:val="0"/>
          <w:sz w:val="32"/>
        </w:rPr>
        <w:t>3.住房保障支出(类)1.19万元,占0.74%。</w:t>
      </w:r>
    </w:p>
    <w:p w14:paraId="068AF45F">
      <w:pPr>
        <w:spacing w:line="640" w:lineRule="exact"/>
        <w:ind w:firstLine="640"/>
        <w:jc w:val="both"/>
        <w:outlineLvl w:val="3"/>
      </w:pPr>
      <w:r>
        <w:rPr>
          <w:rFonts w:ascii="楷体_GB2312" w:hAnsi="楷体_GB2312" w:eastAsia="楷体_GB2312"/>
          <w:b/>
          <w:sz w:val="32"/>
        </w:rPr>
        <w:t>（三）一般公共预算财政拨款支出决算具体情况</w:t>
      </w:r>
    </w:p>
    <w:p w14:paraId="09DC5D96">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1.46万元，比上年决算减少1.53万元，下降51.17%,主要原因是：本年在职人员调入调出，人员职级不同，缴费基数不同，导致养老保险缴费较上年减少。</w:t>
      </w:r>
    </w:p>
    <w:p w14:paraId="59F0EAA0">
      <w:pPr>
        <w:spacing w:line="580" w:lineRule="exact"/>
        <w:ind w:firstLine="640"/>
        <w:jc w:val="both"/>
      </w:pPr>
      <w:r>
        <w:rPr>
          <w:rFonts w:ascii="仿宋_GB2312" w:hAnsi="仿宋_GB2312" w:eastAsia="仿宋_GB2312"/>
          <w:b w:val="0"/>
          <w:sz w:val="32"/>
        </w:rPr>
        <w:t>2.社会保障和就业支出(类)社会福利(款)老年福利(项):支出决算数为40.94万元，比上年决算减少11.59万元，下降22.06%,主要原因是：集中供养老人逐年减少，集中供养老人生活补助</w:t>
      </w:r>
      <w:r>
        <w:rPr>
          <w:rFonts w:hint="eastAsia" w:ascii="仿宋_GB2312" w:hAnsi="仿宋_GB2312" w:eastAsia="仿宋_GB2312"/>
          <w:b w:val="0"/>
          <w:sz w:val="32"/>
          <w:lang w:eastAsia="zh-CN"/>
        </w:rPr>
        <w:t>相应减少</w:t>
      </w:r>
      <w:r>
        <w:rPr>
          <w:rFonts w:ascii="仿宋_GB2312" w:hAnsi="仿宋_GB2312" w:eastAsia="仿宋_GB2312"/>
          <w:b w:val="0"/>
          <w:sz w:val="32"/>
        </w:rPr>
        <w:t>，故此科目经费减少。</w:t>
      </w:r>
    </w:p>
    <w:p w14:paraId="2D6E049C">
      <w:pPr>
        <w:spacing w:line="580" w:lineRule="exact"/>
        <w:ind w:firstLine="640"/>
        <w:jc w:val="both"/>
      </w:pPr>
      <w:r>
        <w:rPr>
          <w:rFonts w:ascii="仿宋_GB2312" w:hAnsi="仿宋_GB2312" w:eastAsia="仿宋_GB2312"/>
          <w:b w:val="0"/>
          <w:sz w:val="32"/>
        </w:rPr>
        <w:t>3.社会保障和就业支出(类)特困人员救助供养(款)城市特困人员救助供养支出(项):支出决算数为108.47万元，比上年决算减少20.66万元，下降16.00%,主要原因是：本年减少困难群众救助补助资金。</w:t>
      </w:r>
    </w:p>
    <w:p w14:paraId="1D90C223">
      <w:pPr>
        <w:spacing w:line="580" w:lineRule="exact"/>
        <w:ind w:firstLine="640"/>
        <w:jc w:val="both"/>
      </w:pPr>
      <w:r>
        <w:rPr>
          <w:rFonts w:ascii="仿宋_GB2312" w:hAnsi="仿宋_GB2312" w:eastAsia="仿宋_GB2312"/>
          <w:b w:val="0"/>
          <w:sz w:val="32"/>
        </w:rPr>
        <w:t>4.社会保障和就业支出(类)其他生活救助(款)其他城市生活救助(项):支出决算数为7.70万元，比上年决算增加7.70万元，增长100.00%,主要原因是：本年度增加集中供养老人一次性补助专项资金。</w:t>
      </w:r>
    </w:p>
    <w:p w14:paraId="2C5FEB0B">
      <w:pPr>
        <w:spacing w:line="580" w:lineRule="exact"/>
        <w:ind w:firstLine="640"/>
        <w:jc w:val="both"/>
      </w:pPr>
      <w:r>
        <w:rPr>
          <w:rFonts w:ascii="仿宋_GB2312" w:hAnsi="仿宋_GB2312" w:eastAsia="仿宋_GB2312"/>
          <w:b w:val="0"/>
          <w:sz w:val="32"/>
        </w:rPr>
        <w:t>5.卫生健康支出(类)行政事业单位医疗(款)事业单位医疗(项):支出决算数为0.46万元，比上年决算减少0.36万元，下降43.90%,主要原因是：本年在职人员调入调出，人员职级不同，缴费基数不同，导致事业单位医疗较上年减少。</w:t>
      </w:r>
    </w:p>
    <w:p w14:paraId="49808899">
      <w:pPr>
        <w:spacing w:line="580" w:lineRule="exact"/>
        <w:ind w:firstLine="640"/>
        <w:jc w:val="both"/>
      </w:pPr>
      <w:r>
        <w:rPr>
          <w:rFonts w:ascii="仿宋_GB2312" w:hAnsi="仿宋_GB2312" w:eastAsia="仿宋_GB2312"/>
          <w:b w:val="0"/>
          <w:sz w:val="32"/>
        </w:rPr>
        <w:t>6.住房保障支出(类)住房改革支出(款)住房公积金(项):支出决算数为1.19万元，比上年决算减少1.40万元，下降54.05%,主要原因是：本年在职人员调入调出，人员职级不同，缴费基数不同，导致住房公积金较上年减少。</w:t>
      </w:r>
    </w:p>
    <w:p w14:paraId="736465BC">
      <w:pPr>
        <w:spacing w:line="640" w:lineRule="exact"/>
        <w:ind w:firstLine="640"/>
        <w:jc w:val="both"/>
        <w:outlineLvl w:val="2"/>
      </w:pPr>
      <w:r>
        <w:rPr>
          <w:rFonts w:ascii="黑体" w:hAnsi="黑体" w:eastAsia="黑体"/>
          <w:sz w:val="32"/>
        </w:rPr>
        <w:t>六、一般公共预算财政拨款基本支出决算情况说明</w:t>
      </w:r>
    </w:p>
    <w:p w14:paraId="400885E0">
      <w:pPr>
        <w:spacing w:line="580" w:lineRule="exact"/>
        <w:ind w:firstLine="640"/>
        <w:jc w:val="both"/>
      </w:pPr>
      <w:r>
        <w:rPr>
          <w:rFonts w:ascii="仿宋_GB2312" w:hAnsi="仿宋_GB2312" w:eastAsia="仿宋_GB2312"/>
          <w:b w:val="0"/>
          <w:sz w:val="32"/>
        </w:rPr>
        <w:t>2024年度一般公共预算财政拨款基本支出28.08万元，其中：</w:t>
      </w:r>
      <w:r>
        <w:rPr>
          <w:rFonts w:ascii="仿宋_GB2312" w:hAnsi="仿宋_GB2312" w:eastAsia="仿宋_GB2312"/>
          <w:b/>
          <w:sz w:val="32"/>
        </w:rPr>
        <w:t>人员经费14.40万元，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284F8060">
      <w:pPr>
        <w:spacing w:line="580" w:lineRule="exact"/>
        <w:ind w:firstLine="640"/>
        <w:jc w:val="both"/>
      </w:pPr>
      <w:r>
        <w:rPr>
          <w:rFonts w:ascii="仿宋_GB2312" w:hAnsi="仿宋_GB2312" w:eastAsia="仿宋_GB2312"/>
          <w:b/>
          <w:sz w:val="32"/>
        </w:rPr>
        <w:t>公用经费13.68万元，</w:t>
      </w:r>
      <w:r>
        <w:rPr>
          <w:rFonts w:ascii="仿宋_GB2312" w:hAnsi="仿宋_GB2312" w:eastAsia="仿宋_GB2312"/>
          <w:b w:val="0"/>
          <w:sz w:val="32"/>
        </w:rPr>
        <w:t>包括：办公费、取暖费。</w:t>
      </w:r>
    </w:p>
    <w:p w14:paraId="54EC6E1E">
      <w:pPr>
        <w:spacing w:line="640" w:lineRule="exact"/>
        <w:ind w:firstLine="640"/>
        <w:jc w:val="both"/>
        <w:outlineLvl w:val="2"/>
      </w:pPr>
      <w:r>
        <w:rPr>
          <w:rFonts w:ascii="黑体" w:hAnsi="黑体" w:eastAsia="黑体"/>
          <w:sz w:val="32"/>
        </w:rPr>
        <w:t>七、政府性基金预算财政拨款收入支出决算情况说明</w:t>
      </w:r>
    </w:p>
    <w:p w14:paraId="37031217">
      <w:pPr>
        <w:spacing w:line="580" w:lineRule="exact"/>
        <w:ind w:firstLine="640"/>
        <w:jc w:val="both"/>
      </w:pPr>
      <w:r>
        <w:rPr>
          <w:rFonts w:ascii="仿宋_GB2312" w:hAnsi="仿宋_GB2312" w:eastAsia="仿宋_GB2312"/>
          <w:b/>
          <w:sz w:val="32"/>
        </w:rPr>
        <w:t>2024年度政府性基金预算财政拨款收入总计9.72万元，</w:t>
      </w:r>
      <w:r>
        <w:rPr>
          <w:rFonts w:ascii="仿宋_GB2312" w:hAnsi="仿宋_GB2312" w:eastAsia="仿宋_GB2312"/>
          <w:b w:val="0"/>
          <w:sz w:val="32"/>
        </w:rPr>
        <w:t>其中：年初结转和结余0.00万元，本年收入9.72万元。</w:t>
      </w:r>
      <w:r>
        <w:rPr>
          <w:rFonts w:ascii="仿宋_GB2312" w:hAnsi="仿宋_GB2312" w:eastAsia="仿宋_GB2312"/>
          <w:b/>
          <w:sz w:val="32"/>
        </w:rPr>
        <w:t>政府性基金预算财政拨款支出总计9.72万元，</w:t>
      </w:r>
      <w:r>
        <w:rPr>
          <w:rFonts w:ascii="仿宋_GB2312" w:hAnsi="仿宋_GB2312" w:eastAsia="仿宋_GB2312"/>
          <w:b w:val="0"/>
          <w:sz w:val="32"/>
        </w:rPr>
        <w:t>其中：年末结转和结余0.00万元，本年支出9.72万元。</w:t>
      </w:r>
    </w:p>
    <w:p w14:paraId="1F77E02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减少12.54万元，下降56.33%，主要原因是：本年度减少“双集中”护理补助资金。</w:t>
      </w:r>
      <w:r>
        <w:rPr>
          <w:rFonts w:ascii="仿宋_GB2312" w:hAnsi="仿宋_GB2312" w:eastAsia="仿宋_GB2312"/>
          <w:b/>
          <w:sz w:val="32"/>
        </w:rPr>
        <w:t>与年初预算相比，</w:t>
      </w:r>
      <w:r>
        <w:rPr>
          <w:rFonts w:ascii="仿宋_GB2312" w:hAnsi="仿宋_GB2312" w:eastAsia="仿宋_GB2312"/>
          <w:b w:val="0"/>
          <w:sz w:val="32"/>
        </w:rPr>
        <w:t>年初预算数0.32万元，决算数9.72万元，预决算差异率2937.50%，主要原因是：年中追加“双集中”补助资金，导致预决算存在差异。</w:t>
      </w:r>
    </w:p>
    <w:p w14:paraId="420ECBE9">
      <w:pPr>
        <w:spacing w:line="580" w:lineRule="exact"/>
        <w:ind w:firstLine="640"/>
        <w:jc w:val="both"/>
      </w:pPr>
      <w:r>
        <w:rPr>
          <w:rFonts w:ascii="仿宋_GB2312" w:hAnsi="仿宋_GB2312" w:eastAsia="仿宋_GB2312"/>
          <w:b w:val="0"/>
          <w:sz w:val="32"/>
        </w:rPr>
        <w:t>政府性基金预算财政拨款支出9.72万元。</w:t>
      </w:r>
    </w:p>
    <w:p w14:paraId="3CB0F9FB">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1.其他支出(类)彩票公益金安排的支出(款)用于社会福利的彩票公益金支出(项):支出决算数为9.72万元，比上年决算减少12.54万元，下降56.33%,主要原因是：本年度减少“双集中”护理补助资金。</w:t>
      </w:r>
    </w:p>
    <w:p w14:paraId="634EA13D">
      <w:pPr>
        <w:spacing w:line="640" w:lineRule="exact"/>
        <w:ind w:firstLine="640"/>
        <w:jc w:val="both"/>
        <w:outlineLvl w:val="2"/>
      </w:pPr>
      <w:r>
        <w:rPr>
          <w:rFonts w:ascii="黑体" w:hAnsi="黑体" w:eastAsia="黑体"/>
          <w:sz w:val="32"/>
        </w:rPr>
        <w:t>八、国有资本经营预算财政拨款收入支出决算情况说明</w:t>
      </w:r>
    </w:p>
    <w:p w14:paraId="55F6E0B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ADA6937">
      <w:pPr>
        <w:spacing w:line="640" w:lineRule="exact"/>
        <w:ind w:firstLine="640"/>
        <w:jc w:val="both"/>
        <w:outlineLvl w:val="2"/>
      </w:pPr>
      <w:r>
        <w:rPr>
          <w:rFonts w:ascii="黑体" w:hAnsi="黑体" w:eastAsia="黑体"/>
          <w:sz w:val="32"/>
        </w:rPr>
        <w:t>九、财政拨款“三公”经费支出决算情况说明</w:t>
      </w:r>
    </w:p>
    <w:p w14:paraId="584019C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BF3C398">
      <w:pPr>
        <w:spacing w:line="580" w:lineRule="exact"/>
        <w:ind w:firstLine="640"/>
        <w:jc w:val="both"/>
      </w:pPr>
      <w:r>
        <w:rPr>
          <w:rFonts w:ascii="仿宋_GB2312" w:hAnsi="仿宋_GB2312" w:eastAsia="仿宋_GB2312"/>
          <w:b/>
          <w:sz w:val="32"/>
        </w:rPr>
        <w:t>具体情况如下：</w:t>
      </w:r>
    </w:p>
    <w:p w14:paraId="19D4276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C94EC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9891A0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115E9B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54B0D19">
      <w:pPr>
        <w:spacing w:line="640" w:lineRule="exact"/>
        <w:ind w:firstLine="640"/>
        <w:jc w:val="both"/>
        <w:outlineLvl w:val="2"/>
      </w:pPr>
      <w:r>
        <w:rPr>
          <w:rFonts w:ascii="黑体" w:hAnsi="黑体" w:eastAsia="黑体"/>
          <w:sz w:val="32"/>
        </w:rPr>
        <w:t>十、其他重要事项的情况说明</w:t>
      </w:r>
    </w:p>
    <w:p w14:paraId="0B66B3CF">
      <w:pPr>
        <w:spacing w:line="640" w:lineRule="exact"/>
        <w:ind w:firstLine="640"/>
        <w:jc w:val="both"/>
        <w:outlineLvl w:val="3"/>
      </w:pPr>
      <w:r>
        <w:rPr>
          <w:rFonts w:ascii="楷体_GB2312" w:hAnsi="楷体_GB2312" w:eastAsia="楷体_GB2312"/>
          <w:b/>
          <w:sz w:val="32"/>
        </w:rPr>
        <w:t>（一）机关运行经费及公用经费支出情况</w:t>
      </w:r>
    </w:p>
    <w:p w14:paraId="6F18E82B">
      <w:pPr>
        <w:spacing w:line="580" w:lineRule="exact"/>
        <w:ind w:firstLine="640"/>
        <w:jc w:val="both"/>
      </w:pPr>
      <w:r>
        <w:rPr>
          <w:rFonts w:ascii="仿宋_GB2312" w:hAnsi="仿宋_GB2312" w:eastAsia="仿宋_GB2312"/>
          <w:b w:val="0"/>
          <w:sz w:val="32"/>
        </w:rPr>
        <w:t>2024年度阿图什市敬老院（事业单位）公用经费支出13.68万元，比上年增加0.05万元，增长0.37%，主要原因是：本年度增加办公费，导致公用经费增加。</w:t>
      </w:r>
    </w:p>
    <w:p w14:paraId="14047A28">
      <w:pPr>
        <w:spacing w:line="640" w:lineRule="exact"/>
        <w:ind w:firstLine="640"/>
        <w:jc w:val="both"/>
        <w:outlineLvl w:val="3"/>
      </w:pPr>
      <w:bookmarkStart w:id="0" w:name="_GoBack"/>
      <w:bookmarkEnd w:id="0"/>
      <w:r>
        <w:rPr>
          <w:rFonts w:ascii="楷体_GB2312" w:hAnsi="楷体_GB2312" w:eastAsia="楷体_GB2312"/>
          <w:b/>
          <w:sz w:val="32"/>
        </w:rPr>
        <w:t>（二）政府采购情况</w:t>
      </w:r>
    </w:p>
    <w:p w14:paraId="0FA9A568">
      <w:pPr>
        <w:spacing w:line="580" w:lineRule="exact"/>
        <w:ind w:firstLine="640"/>
        <w:jc w:val="both"/>
      </w:pPr>
      <w:r>
        <w:rPr>
          <w:rFonts w:ascii="仿宋_GB2312" w:hAnsi="仿宋_GB2312" w:eastAsia="仿宋_GB2312"/>
          <w:b w:val="0"/>
          <w:sz w:val="32"/>
        </w:rPr>
        <w:t>2024年度政府采购支出总额74.49万元，其中：政府采购货物支出66.16万元、政府采购工程支出0.00万元、政府采购服务支出8.33万元。</w:t>
      </w:r>
    </w:p>
    <w:p w14:paraId="6CB59BF7">
      <w:pPr>
        <w:spacing w:line="580" w:lineRule="exact"/>
        <w:ind w:firstLine="640"/>
        <w:jc w:val="both"/>
      </w:pPr>
      <w:r>
        <w:rPr>
          <w:rFonts w:ascii="仿宋_GB2312" w:hAnsi="仿宋_GB2312" w:eastAsia="仿宋_GB2312"/>
          <w:b w:val="0"/>
          <w:sz w:val="32"/>
        </w:rPr>
        <w:t>授予中小企业合同金额74.49万元，占政府采购支出总额的100.00%，其中：授予小微企业合同金额74.49万元，占政府采购支出总额的100.00%。</w:t>
      </w:r>
    </w:p>
    <w:p w14:paraId="507DBC7D">
      <w:pPr>
        <w:spacing w:line="640" w:lineRule="exact"/>
        <w:ind w:firstLine="640"/>
        <w:jc w:val="both"/>
        <w:outlineLvl w:val="3"/>
      </w:pPr>
      <w:r>
        <w:rPr>
          <w:rFonts w:ascii="楷体_GB2312" w:hAnsi="楷体_GB2312" w:eastAsia="楷体_GB2312"/>
          <w:b/>
          <w:sz w:val="32"/>
        </w:rPr>
        <w:t>（三）国有资产占用情况说明</w:t>
      </w:r>
    </w:p>
    <w:p w14:paraId="13D904E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FDEF2A5">
      <w:pPr>
        <w:spacing w:line="640" w:lineRule="exact"/>
        <w:ind w:firstLine="640"/>
        <w:jc w:val="both"/>
        <w:outlineLvl w:val="2"/>
      </w:pPr>
      <w:r>
        <w:rPr>
          <w:rFonts w:ascii="黑体" w:hAnsi="黑体" w:eastAsia="黑体"/>
          <w:sz w:val="32"/>
        </w:rPr>
        <w:t>十一、预算绩效的情况说明</w:t>
      </w:r>
    </w:p>
    <w:p w14:paraId="428CFFF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197.79万元，实际执行总额190.02万元；预算绩效评价项目2个，全年预算数154.53万元，全年执行数124.45万元。预算绩效管理取得的成效：一是加大硬件设施投入，保证了老人老有所乐，心情舒畅。二是竭力服务老人的生活起居，满足老人的愿望，全力做好老人服务工作。发现的问题及原因：一是单位编制预算的能力和水平有限，还待进一步提高；二是在</w:t>
      </w:r>
      <w:r>
        <w:rPr>
          <w:rFonts w:hint="eastAsia" w:ascii="仿宋_GB2312" w:hAnsi="仿宋_GB2312" w:eastAsia="仿宋_GB2312"/>
          <w:b w:val="0"/>
          <w:sz w:val="32"/>
          <w:lang w:eastAsia="zh-CN"/>
        </w:rPr>
        <w:t>编制</w:t>
      </w:r>
      <w:r>
        <w:rPr>
          <w:rFonts w:ascii="仿宋_GB2312" w:hAnsi="仿宋_GB2312" w:eastAsia="仿宋_GB2312"/>
          <w:b w:val="0"/>
          <w:sz w:val="32"/>
        </w:rPr>
        <w:t>预算时，确实存在很多不确定性，比如人员的调进、调出、年中工资的上调，绩效奖励工资的发放、财政年中安排专项经费、单位年中债权、债务的增减等不确定因素较多。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6F6B53D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47F2C18">
        <w:tblPrEx>
          <w:tblCellMar>
            <w:top w:w="0" w:type="dxa"/>
            <w:left w:w="108" w:type="dxa"/>
            <w:bottom w:w="0" w:type="dxa"/>
            <w:right w:w="108" w:type="dxa"/>
          </w:tblCellMar>
        </w:tblPrEx>
        <w:tc>
          <w:tcPr>
            <w:tcW w:w="8840" w:type="dxa"/>
            <w:gridSpan w:val="8"/>
            <w:vAlign w:val="center"/>
          </w:tcPr>
          <w:p w14:paraId="5A7691DE">
            <w:pPr>
              <w:jc w:val="center"/>
            </w:pPr>
            <w:r>
              <w:rPr>
                <w:rFonts w:ascii="宋体" w:hAnsi="宋体" w:eastAsia="宋体"/>
                <w:sz w:val="24"/>
              </w:rPr>
              <w:t>单位整体支出绩效自评表</w:t>
            </w:r>
          </w:p>
        </w:tc>
      </w:tr>
      <w:tr w14:paraId="329E2668">
        <w:tblPrEx>
          <w:tblCellMar>
            <w:top w:w="0" w:type="dxa"/>
            <w:left w:w="108" w:type="dxa"/>
            <w:bottom w:w="0" w:type="dxa"/>
            <w:right w:w="108" w:type="dxa"/>
          </w:tblCellMar>
        </w:tblPrEx>
        <w:tc>
          <w:tcPr>
            <w:tcW w:w="8840" w:type="dxa"/>
            <w:gridSpan w:val="8"/>
            <w:vAlign w:val="center"/>
          </w:tcPr>
          <w:p w14:paraId="0BBECA59">
            <w:pPr>
              <w:jc w:val="center"/>
            </w:pPr>
            <w:r>
              <w:rPr>
                <w:rFonts w:ascii="宋体" w:hAnsi="宋体" w:eastAsia="宋体"/>
                <w:sz w:val="24"/>
              </w:rPr>
              <w:t>（2024年度）</w:t>
            </w:r>
          </w:p>
        </w:tc>
      </w:tr>
      <w:tr w14:paraId="453804D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4484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E571BC">
            <w:pPr>
              <w:jc w:val="center"/>
            </w:pPr>
            <w:r>
              <w:rPr>
                <w:rFonts w:ascii="宋体" w:hAnsi="宋体" w:eastAsia="宋体"/>
                <w:sz w:val="16"/>
              </w:rPr>
              <w:t>阿图什市敬老院</w:t>
            </w:r>
          </w:p>
        </w:tc>
      </w:tr>
      <w:tr w14:paraId="475F824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3938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77D0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0459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6AEFC">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EDDE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88CD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4A09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58969">
            <w:pPr>
              <w:jc w:val="center"/>
            </w:pPr>
            <w:r>
              <w:rPr>
                <w:rFonts w:ascii="宋体" w:hAnsi="宋体" w:eastAsia="宋体"/>
                <w:sz w:val="16"/>
              </w:rPr>
              <w:t>得分</w:t>
            </w:r>
          </w:p>
        </w:tc>
      </w:tr>
      <w:tr w14:paraId="5D919D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D1A5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E937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A2665">
            <w:pPr>
              <w:jc w:val="center"/>
            </w:pPr>
            <w:r>
              <w:rPr>
                <w:rFonts w:ascii="宋体" w:hAnsi="宋体" w:eastAsia="宋体"/>
                <w:sz w:val="16"/>
              </w:rPr>
              <w:t>182.71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0A903">
            <w:pPr>
              <w:jc w:val="center"/>
            </w:pPr>
            <w:r>
              <w:rPr>
                <w:rFonts w:ascii="宋体" w:hAnsi="宋体" w:eastAsia="宋体"/>
                <w:sz w:val="16"/>
              </w:rPr>
              <w:t>197.79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33C95">
            <w:pPr>
              <w:jc w:val="center"/>
            </w:pPr>
            <w:r>
              <w:rPr>
                <w:rFonts w:ascii="宋体" w:hAnsi="宋体" w:eastAsia="宋体"/>
                <w:sz w:val="16"/>
              </w:rPr>
              <w:t>190.02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93D2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7418C">
            <w:pPr>
              <w:jc w:val="center"/>
            </w:pPr>
            <w:r>
              <w:rPr>
                <w:rFonts w:ascii="宋体" w:hAnsi="宋体" w:eastAsia="宋体"/>
                <w:sz w:val="16"/>
              </w:rPr>
              <w:t>96.07%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B8E0A">
            <w:pPr>
              <w:jc w:val="center"/>
            </w:pPr>
            <w:r>
              <w:rPr>
                <w:rFonts w:hint="eastAsia" w:ascii="宋体" w:hAnsi="宋体" w:eastAsia="宋体"/>
                <w:sz w:val="16"/>
              </w:rPr>
              <w:t>9.61</w:t>
            </w:r>
          </w:p>
        </w:tc>
      </w:tr>
      <w:tr w14:paraId="252BD9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EFFC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FE54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621E0">
            <w:pPr>
              <w:jc w:val="center"/>
            </w:pPr>
            <w:r>
              <w:rPr>
                <w:rFonts w:ascii="宋体" w:hAnsi="宋体" w:eastAsia="宋体"/>
                <w:sz w:val="16"/>
              </w:rPr>
              <w:t>121.72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E9327">
            <w:pPr>
              <w:jc w:val="center"/>
            </w:pPr>
            <w:r>
              <w:rPr>
                <w:rFonts w:ascii="宋体" w:hAnsi="宋体" w:eastAsia="宋体"/>
                <w:sz w:val="16"/>
              </w:rPr>
              <w:t>125.89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69216">
            <w:pPr>
              <w:jc w:val="center"/>
            </w:pPr>
            <w:r>
              <w:rPr>
                <w:rFonts w:ascii="宋体" w:hAnsi="宋体" w:eastAsia="宋体"/>
                <w:sz w:val="16"/>
              </w:rPr>
              <w:t>125.89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E3C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782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4754F">
            <w:pPr>
              <w:jc w:val="center"/>
            </w:pPr>
            <w:r>
              <w:rPr>
                <w:rFonts w:ascii="宋体" w:hAnsi="宋体" w:eastAsia="宋体"/>
                <w:sz w:val="16"/>
              </w:rPr>
              <w:t>—</w:t>
            </w:r>
          </w:p>
        </w:tc>
      </w:tr>
      <w:tr w14:paraId="0BFDD5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DD21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1FC3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C778A">
            <w:pPr>
              <w:jc w:val="center"/>
            </w:pPr>
            <w:r>
              <w:rPr>
                <w:rFonts w:ascii="宋体" w:hAnsi="宋体" w:eastAsia="宋体"/>
                <w:sz w:val="16"/>
              </w:rPr>
              <w:t>60.99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A92B3">
            <w:pPr>
              <w:jc w:val="center"/>
            </w:pPr>
            <w:r>
              <w:rPr>
                <w:rFonts w:ascii="宋体" w:hAnsi="宋体" w:eastAsia="宋体"/>
                <w:sz w:val="16"/>
              </w:rPr>
              <w:t>71.90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99C8D">
            <w:pPr>
              <w:jc w:val="center"/>
            </w:pPr>
            <w:r>
              <w:rPr>
                <w:rFonts w:ascii="宋体" w:hAnsi="宋体" w:eastAsia="宋体"/>
                <w:sz w:val="16"/>
              </w:rPr>
              <w:t>64.13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E1F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274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C0A78">
            <w:pPr>
              <w:jc w:val="center"/>
            </w:pPr>
            <w:r>
              <w:rPr>
                <w:rFonts w:ascii="宋体" w:hAnsi="宋体" w:eastAsia="宋体"/>
                <w:sz w:val="16"/>
              </w:rPr>
              <w:t>—</w:t>
            </w:r>
          </w:p>
        </w:tc>
      </w:tr>
      <w:tr w14:paraId="2A428D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378D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845C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8026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15C5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949A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6561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0ED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AF32D">
            <w:pPr>
              <w:jc w:val="center"/>
            </w:pPr>
            <w:r>
              <w:rPr>
                <w:rFonts w:ascii="宋体" w:hAnsi="宋体" w:eastAsia="宋体"/>
                <w:sz w:val="16"/>
              </w:rPr>
              <w:t>—</w:t>
            </w:r>
          </w:p>
        </w:tc>
      </w:tr>
      <w:tr w14:paraId="5F349E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ABAE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DE56B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934C87">
            <w:pPr>
              <w:jc w:val="center"/>
            </w:pPr>
            <w:r>
              <w:rPr>
                <w:rFonts w:ascii="宋体" w:hAnsi="宋体" w:eastAsia="宋体"/>
                <w:sz w:val="16"/>
              </w:rPr>
              <w:t>实际完成情况</w:t>
            </w:r>
          </w:p>
        </w:tc>
      </w:tr>
      <w:tr w14:paraId="7EBFF6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9D2F0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60D295">
            <w:pPr>
              <w:jc w:val="both"/>
            </w:pPr>
            <w:r>
              <w:rPr>
                <w:rFonts w:ascii="宋体" w:hAnsi="宋体" w:eastAsia="宋体"/>
                <w:sz w:val="16"/>
              </w:rPr>
              <w:t xml:space="preserve">单位基本职能：热爱敬老院事业，树立以院为家的思想，积极开展种植养殖等多种经营生产劳动，带头发展庭院经济。组织院民参加力所能及的生产劳动，搞好卫生，安全知识宣传工作，经常给院民讲安全，卫生常识，成立卫生，安全生产小组负责院内院外安全卫生，消毒等检查评比工作。 </w:t>
            </w:r>
            <w:r>
              <w:rPr>
                <w:rFonts w:ascii="宋体" w:hAnsi="宋体" w:eastAsia="宋体"/>
                <w:sz w:val="16"/>
              </w:rPr>
              <w:br w:type="textWrapping"/>
            </w:r>
            <w:r>
              <w:rPr>
                <w:rFonts w:ascii="宋体" w:hAnsi="宋体" w:eastAsia="宋体"/>
                <w:sz w:val="16"/>
              </w:rPr>
              <w:t xml:space="preserve">机构设置及人员配置：编制情况：下设4个科室，编制数1人，实有人数1人，在职1人。 </w:t>
            </w:r>
            <w:r>
              <w:rPr>
                <w:rFonts w:ascii="宋体" w:hAnsi="宋体" w:eastAsia="宋体"/>
                <w:sz w:val="16"/>
              </w:rPr>
              <w:br w:type="textWrapping"/>
            </w:r>
            <w:r>
              <w:rPr>
                <w:rFonts w:ascii="宋体" w:hAnsi="宋体" w:eastAsia="宋体"/>
                <w:sz w:val="16"/>
              </w:rPr>
              <w:t xml:space="preserve">中长期规划：继续牢固树立爱心至上的服务理念，用人性化、家庭式的服务温暖老人，提高老人入住率；制定工作人员培训计划，组织工作人员参加专业机构主办的培训班、专题学习班等，提高专业技能和专业化服务水平。 </w:t>
            </w:r>
            <w:r>
              <w:rPr>
                <w:rFonts w:ascii="宋体" w:hAnsi="宋体" w:eastAsia="宋体"/>
                <w:sz w:val="16"/>
              </w:rPr>
              <w:br w:type="textWrapping"/>
            </w:r>
            <w:r>
              <w:rPr>
                <w:rFonts w:ascii="宋体" w:hAnsi="宋体" w:eastAsia="宋体"/>
                <w:sz w:val="16"/>
              </w:rPr>
              <w:t xml:space="preserve">    保障部门在职1人的各项工资福利补助正常发放及部门正常运转；保障单位预算项目按计划实施，保障集中供养老人生活与护理补助正常发放。</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6DFB1B">
            <w:pPr>
              <w:jc w:val="both"/>
            </w:pPr>
            <w:r>
              <w:rPr>
                <w:rFonts w:ascii="宋体" w:hAnsi="宋体" w:eastAsia="宋体"/>
                <w:sz w:val="16"/>
              </w:rPr>
              <w:t xml:space="preserve">本单位共计支出190.02万元，用于保障部门在职1人的工资福利、各项补助正常发放及部门单位正常运转，单位预算项目根据年初计划均已完成，继续牢固树立爱心至上的服务理念，用人性化、家庭式的服务温暖老人，提高老人入住率；制定工作人员培训计划，组织工作人员参加专业机构主办的培训班、专题学习班等，提高专业技能和专业化服务水平，年度任务中完成集中供养老人数量85人，护理员当值情况24小时/天，保障单位日常运转期限12个月等目标。 </w:t>
            </w:r>
          </w:p>
        </w:tc>
      </w:tr>
      <w:tr w14:paraId="7C6F52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B41D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4E540">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D853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8E82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9F2C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52C5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AFA2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CBA3F">
            <w:pPr>
              <w:jc w:val="center"/>
            </w:pPr>
            <w:r>
              <w:rPr>
                <w:rFonts w:ascii="宋体" w:hAnsi="宋体" w:eastAsia="宋体"/>
                <w:sz w:val="16"/>
              </w:rPr>
              <w:t>得分</w:t>
            </w:r>
          </w:p>
        </w:tc>
      </w:tr>
      <w:tr w14:paraId="5802D5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FAB7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4AB3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D67EE">
            <w:pPr>
              <w:jc w:val="center"/>
            </w:pPr>
            <w:r>
              <w:rPr>
                <w:rFonts w:ascii="宋体" w:hAnsi="宋体" w:eastAsia="宋体"/>
                <w:sz w:val="16"/>
              </w:rPr>
              <w:t>集中供养老人数量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555FC">
            <w:pPr>
              <w:jc w:val="center"/>
            </w:pPr>
            <w:r>
              <w:rPr>
                <w:rFonts w:ascii="宋体" w:hAnsi="宋体" w:eastAsia="宋体"/>
                <w:sz w:val="16"/>
              </w:rPr>
              <w:t>&gt;=94人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F740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DCF4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F91C0">
            <w:pPr>
              <w:jc w:val="center"/>
            </w:pPr>
            <w:r>
              <w:rPr>
                <w:rFonts w:ascii="宋体" w:hAnsi="宋体" w:eastAsia="宋体"/>
                <w:sz w:val="16"/>
              </w:rPr>
              <w:t>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963A9">
            <w:pPr>
              <w:jc w:val="center"/>
            </w:pPr>
            <w:r>
              <w:rPr>
                <w:rFonts w:ascii="宋体" w:hAnsi="宋体" w:eastAsia="宋体"/>
                <w:sz w:val="16"/>
              </w:rPr>
              <w:t>16.28</w:t>
            </w:r>
          </w:p>
        </w:tc>
      </w:tr>
      <w:tr w14:paraId="42CD2A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E786B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E1A3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C46DD">
            <w:pPr>
              <w:jc w:val="center"/>
            </w:pPr>
            <w:r>
              <w:rPr>
                <w:rFonts w:ascii="宋体" w:hAnsi="宋体" w:eastAsia="宋体"/>
                <w:sz w:val="16"/>
              </w:rPr>
              <w:t>护理员当值情况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CC4F3">
            <w:pPr>
              <w:jc w:val="center"/>
            </w:pPr>
            <w:r>
              <w:rPr>
                <w:rFonts w:ascii="宋体" w:hAnsi="宋体" w:eastAsia="宋体"/>
                <w:sz w:val="16"/>
              </w:rPr>
              <w:t>=24小时/天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3620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A105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CF722">
            <w:pPr>
              <w:jc w:val="center"/>
            </w:pPr>
            <w:r>
              <w:rPr>
                <w:rFonts w:ascii="宋体" w:hAnsi="宋体" w:eastAsia="宋体"/>
                <w:sz w:val="16"/>
              </w:rPr>
              <w:t>24小时/天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D69AB">
            <w:pPr>
              <w:jc w:val="center"/>
            </w:pPr>
            <w:r>
              <w:rPr>
                <w:rFonts w:ascii="宋体" w:hAnsi="宋体" w:eastAsia="宋体"/>
                <w:sz w:val="16"/>
              </w:rPr>
              <w:t>18</w:t>
            </w:r>
          </w:p>
        </w:tc>
      </w:tr>
      <w:tr w14:paraId="4C614E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D9DEA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AE9A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19EDA">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B56C8">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8D75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7012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7F6EB">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7C1D7">
            <w:pPr>
              <w:jc w:val="center"/>
            </w:pPr>
            <w:r>
              <w:rPr>
                <w:rFonts w:ascii="宋体" w:hAnsi="宋体" w:eastAsia="宋体"/>
                <w:sz w:val="16"/>
              </w:rPr>
              <w:t>18</w:t>
            </w:r>
          </w:p>
        </w:tc>
      </w:tr>
      <w:tr w14:paraId="30C23A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305F7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A73C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542CC">
            <w:pPr>
              <w:jc w:val="center"/>
            </w:pPr>
            <w:r>
              <w:rPr>
                <w:rFonts w:ascii="宋体" w:hAnsi="宋体" w:eastAsia="宋体"/>
                <w:sz w:val="16"/>
              </w:rPr>
              <w:t>集中供养老人护理补助发放率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BF9A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7106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CFED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8B3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7C748">
            <w:pPr>
              <w:jc w:val="center"/>
            </w:pPr>
            <w:r>
              <w:rPr>
                <w:rFonts w:ascii="宋体" w:hAnsi="宋体" w:eastAsia="宋体"/>
                <w:sz w:val="16"/>
              </w:rPr>
              <w:t>18</w:t>
            </w:r>
          </w:p>
        </w:tc>
      </w:tr>
      <w:tr w14:paraId="38CE5F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532BF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208B7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03A0B">
            <w:pPr>
              <w:jc w:val="center"/>
            </w:pPr>
            <w:r>
              <w:rPr>
                <w:rFonts w:ascii="宋体" w:hAnsi="宋体" w:eastAsia="宋体"/>
                <w:sz w:val="16"/>
              </w:rPr>
              <w:t>安全隐患排查工作覆盖率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BF93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F4D3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B931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2186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5F918">
            <w:pPr>
              <w:jc w:val="center"/>
            </w:pPr>
            <w:r>
              <w:rPr>
                <w:rFonts w:ascii="宋体" w:hAnsi="宋体" w:eastAsia="宋体"/>
                <w:sz w:val="16"/>
              </w:rPr>
              <w:t>18</w:t>
            </w:r>
          </w:p>
        </w:tc>
      </w:tr>
    </w:tbl>
    <w:p w14:paraId="306A12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FF3F7CB">
        <w:tblPrEx>
          <w:tblCellMar>
            <w:top w:w="0" w:type="dxa"/>
            <w:left w:w="108" w:type="dxa"/>
            <w:bottom w:w="0" w:type="dxa"/>
            <w:right w:w="108" w:type="dxa"/>
          </w:tblCellMar>
        </w:tblPrEx>
        <w:tc>
          <w:tcPr>
            <w:tcW w:w="8848" w:type="dxa"/>
            <w:gridSpan w:val="14"/>
            <w:vAlign w:val="center"/>
          </w:tcPr>
          <w:p w14:paraId="72CD64D3">
            <w:pPr>
              <w:jc w:val="center"/>
            </w:pPr>
            <w:r>
              <w:rPr>
                <w:rFonts w:ascii="宋体" w:hAnsi="宋体" w:eastAsia="宋体"/>
                <w:sz w:val="24"/>
              </w:rPr>
              <w:t>项目支出绩效自评表</w:t>
            </w:r>
          </w:p>
        </w:tc>
      </w:tr>
      <w:tr w14:paraId="0E3860F3">
        <w:tblPrEx>
          <w:tblCellMar>
            <w:top w:w="0" w:type="dxa"/>
            <w:left w:w="108" w:type="dxa"/>
            <w:bottom w:w="0" w:type="dxa"/>
            <w:right w:w="108" w:type="dxa"/>
          </w:tblCellMar>
        </w:tblPrEx>
        <w:tc>
          <w:tcPr>
            <w:tcW w:w="8848" w:type="dxa"/>
            <w:gridSpan w:val="14"/>
            <w:vAlign w:val="center"/>
          </w:tcPr>
          <w:p w14:paraId="5F154FF8">
            <w:pPr>
              <w:jc w:val="center"/>
            </w:pPr>
            <w:r>
              <w:rPr>
                <w:rFonts w:ascii="宋体" w:hAnsi="宋体" w:eastAsia="宋体"/>
                <w:sz w:val="24"/>
              </w:rPr>
              <w:t>(2024年度)</w:t>
            </w:r>
          </w:p>
        </w:tc>
      </w:tr>
      <w:tr w14:paraId="02411F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FF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9BCBAE">
            <w:pPr>
              <w:jc w:val="center"/>
            </w:pPr>
            <w:r>
              <w:rPr>
                <w:rFonts w:ascii="宋体" w:hAnsi="宋体" w:eastAsia="宋体"/>
                <w:sz w:val="16"/>
              </w:rPr>
              <w:t>2024年中央财政困难群众救助补助资金项目</w:t>
            </w:r>
          </w:p>
        </w:tc>
      </w:tr>
      <w:tr w14:paraId="51A469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73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C42976">
            <w:pPr>
              <w:jc w:val="center"/>
            </w:pPr>
            <w:r>
              <w:rPr>
                <w:rFonts w:ascii="宋体" w:hAnsi="宋体" w:eastAsia="宋体"/>
                <w:sz w:val="16"/>
              </w:rPr>
              <w:t>阿图什市敬老院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0B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E5E0D2">
            <w:pPr>
              <w:jc w:val="center"/>
            </w:pPr>
            <w:r>
              <w:rPr>
                <w:rFonts w:ascii="宋体" w:hAnsi="宋体" w:eastAsia="宋体"/>
                <w:sz w:val="16"/>
              </w:rPr>
              <w:t>阿图什市敬老院</w:t>
            </w:r>
          </w:p>
        </w:tc>
      </w:tr>
      <w:tr w14:paraId="4E496F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F9B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77A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E5E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615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C8D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692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279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9B3B">
            <w:pPr>
              <w:jc w:val="center"/>
            </w:pPr>
            <w:r>
              <w:rPr>
                <w:rFonts w:ascii="宋体" w:hAnsi="宋体" w:eastAsia="宋体"/>
                <w:sz w:val="16"/>
              </w:rPr>
              <w:t>得分</w:t>
            </w:r>
          </w:p>
        </w:tc>
      </w:tr>
      <w:tr w14:paraId="11868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B45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242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A7CF8">
            <w:pPr>
              <w:jc w:val="center"/>
            </w:pPr>
            <w:r>
              <w:rPr>
                <w:rFonts w:ascii="宋体" w:hAnsi="宋体" w:eastAsia="宋体"/>
                <w:sz w:val="16"/>
              </w:rPr>
              <w:t>121.71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4F2B">
            <w:pPr>
              <w:jc w:val="center"/>
            </w:pPr>
            <w:r>
              <w:rPr>
                <w:rFonts w:ascii="宋体" w:hAnsi="宋体" w:eastAsia="宋体"/>
                <w:sz w:val="16"/>
              </w:rPr>
              <w:t>121.71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00979">
            <w:pPr>
              <w:jc w:val="center"/>
            </w:pPr>
            <w:r>
              <w:rPr>
                <w:rFonts w:ascii="宋体" w:hAnsi="宋体" w:eastAsia="宋体"/>
                <w:sz w:val="16"/>
              </w:rPr>
              <w:t>108.47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018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ADE34">
            <w:pPr>
              <w:jc w:val="center"/>
            </w:pPr>
            <w:r>
              <w:rPr>
                <w:rFonts w:ascii="宋体" w:hAnsi="宋体" w:eastAsia="宋体"/>
                <w:sz w:val="16"/>
              </w:rPr>
              <w:t>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6FC2">
            <w:pPr>
              <w:jc w:val="center"/>
            </w:pPr>
            <w:r>
              <w:rPr>
                <w:rFonts w:ascii="宋体" w:hAnsi="宋体" w:eastAsia="宋体"/>
                <w:sz w:val="16"/>
              </w:rPr>
              <w:t>7.27分</w:t>
            </w:r>
          </w:p>
        </w:tc>
      </w:tr>
      <w:tr w14:paraId="51265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FBE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EC2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FA53E">
            <w:pPr>
              <w:jc w:val="center"/>
            </w:pPr>
            <w:r>
              <w:rPr>
                <w:rFonts w:ascii="宋体" w:hAnsi="宋体" w:eastAsia="宋体"/>
                <w:sz w:val="16"/>
              </w:rPr>
              <w:t>121.71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308D4">
            <w:pPr>
              <w:jc w:val="center"/>
            </w:pPr>
            <w:r>
              <w:rPr>
                <w:rFonts w:ascii="宋体" w:hAnsi="宋体" w:eastAsia="宋体"/>
                <w:sz w:val="16"/>
              </w:rPr>
              <w:t>121.71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08A10">
            <w:pPr>
              <w:jc w:val="center"/>
            </w:pPr>
            <w:r>
              <w:rPr>
                <w:rFonts w:ascii="宋体" w:hAnsi="宋体" w:eastAsia="宋体"/>
                <w:sz w:val="16"/>
              </w:rPr>
              <w:t>108.47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0A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B2F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2768">
            <w:pPr>
              <w:jc w:val="center"/>
            </w:pPr>
            <w:r>
              <w:rPr>
                <w:rFonts w:ascii="宋体" w:hAnsi="宋体" w:eastAsia="宋体"/>
                <w:sz w:val="16"/>
              </w:rPr>
              <w:t>—</w:t>
            </w:r>
          </w:p>
        </w:tc>
      </w:tr>
      <w:tr w14:paraId="09A6C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90E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88E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21A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D8D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242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238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7BE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7D9F">
            <w:pPr>
              <w:jc w:val="center"/>
            </w:pPr>
            <w:r>
              <w:rPr>
                <w:rFonts w:ascii="宋体" w:hAnsi="宋体" w:eastAsia="宋体"/>
                <w:sz w:val="16"/>
              </w:rPr>
              <w:t>—</w:t>
            </w:r>
          </w:p>
        </w:tc>
      </w:tr>
      <w:tr w14:paraId="27B3F6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642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3081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7C044">
            <w:pPr>
              <w:jc w:val="center"/>
            </w:pPr>
            <w:r>
              <w:rPr>
                <w:rFonts w:ascii="宋体" w:hAnsi="宋体" w:eastAsia="宋体"/>
                <w:sz w:val="16"/>
              </w:rPr>
              <w:t>实际完成情况</w:t>
            </w:r>
          </w:p>
        </w:tc>
      </w:tr>
      <w:tr w14:paraId="033DB2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FF1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970AC">
            <w:pPr>
              <w:jc w:val="both"/>
            </w:pPr>
            <w:r>
              <w:rPr>
                <w:rFonts w:ascii="宋体" w:hAnsi="宋体" w:eastAsia="宋体"/>
                <w:sz w:val="16"/>
              </w:rPr>
              <w:t>根据《关于提前下达2024年中央财政困难群众救助补助资金预算的通知》克财社</w:t>
            </w:r>
            <w:r>
              <w:rPr>
                <w:rFonts w:hint="eastAsia" w:ascii="宋体" w:hAnsi="宋体"/>
                <w:sz w:val="16"/>
                <w:lang w:eastAsia="zh-CN"/>
              </w:rPr>
              <w:t>〔2023〕85号</w:t>
            </w:r>
            <w:r>
              <w:rPr>
                <w:rFonts w:ascii="宋体" w:hAnsi="宋体" w:eastAsia="宋体"/>
                <w:sz w:val="16"/>
              </w:rPr>
              <w:t>文件，下达资金121.71万元，主要用于保障特困供养老人生活；通过项目的实施统筹城乡特困人员救助供养工作，合理确定保障标准；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C398A3">
            <w:pPr>
              <w:jc w:val="both"/>
            </w:pPr>
            <w:r>
              <w:rPr>
                <w:rFonts w:ascii="宋体" w:hAnsi="宋体" w:eastAsia="宋体"/>
                <w:sz w:val="16"/>
              </w:rPr>
              <w:t>本项目共计支出108.468万元，用于保障特困供养老人生活；通过实施本项目统筹城乡特困人员救助供养工作，合理确定保障标准。</w:t>
            </w:r>
          </w:p>
        </w:tc>
      </w:tr>
      <w:tr w14:paraId="2A7E4D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40B0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2B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44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4B6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26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29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F1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98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6F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01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53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EA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85F61">
            <w:pPr>
              <w:jc w:val="center"/>
            </w:pPr>
            <w:r>
              <w:rPr>
                <w:rFonts w:ascii="宋体" w:hAnsi="宋体" w:eastAsia="宋体"/>
                <w:sz w:val="16"/>
              </w:rPr>
              <w:t>偏差原因分析及改进措施</w:t>
            </w:r>
          </w:p>
        </w:tc>
      </w:tr>
      <w:tr w14:paraId="7DD8F4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8A7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CC0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6A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57A9">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40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0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9A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1A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17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59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E98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E8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388E">
            <w:pPr>
              <w:jc w:val="center"/>
            </w:pPr>
          </w:p>
        </w:tc>
      </w:tr>
      <w:tr w14:paraId="00DFA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40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DE9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225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2146">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879E">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6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B4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45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A3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B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6D2B">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67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C9FC9">
            <w:pPr>
              <w:jc w:val="center"/>
            </w:pPr>
          </w:p>
        </w:tc>
      </w:tr>
      <w:tr w14:paraId="59EE74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FFE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72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89A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0C0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1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4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26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0E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E6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FC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E1B9">
            <w:pPr>
              <w:jc w:val="center"/>
            </w:pPr>
            <w:r>
              <w:rPr>
                <w:rFonts w:ascii="宋体" w:hAnsi="宋体" w:eastAsia="宋体"/>
                <w:sz w:val="16"/>
              </w:rPr>
              <w:t>=89.1%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48A6">
            <w:pPr>
              <w:jc w:val="center"/>
            </w:pPr>
            <w:r>
              <w:rPr>
                <w:rFonts w:ascii="宋体" w:hAnsi="宋体" w:eastAsia="宋体"/>
                <w:sz w:val="16"/>
              </w:rPr>
              <w:t>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5E203">
            <w:pPr>
              <w:jc w:val="center"/>
            </w:pPr>
            <w:r>
              <w:rPr>
                <w:rFonts w:ascii="宋体" w:hAnsi="宋体" w:eastAsia="宋体"/>
                <w:sz w:val="16"/>
              </w:rPr>
              <w:t>原因：根据实际情况进行支出，每月特困人员数量会有变动，结余资金已</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14:paraId="5E883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7A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219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FF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08A8">
            <w:pPr>
              <w:jc w:val="center"/>
            </w:pPr>
            <w:r>
              <w:rPr>
                <w:rFonts w:ascii="宋体" w:hAnsi="宋体" w:eastAsia="宋体"/>
                <w:sz w:val="16"/>
              </w:rPr>
              <w:t>中央困难群众救助补助资金下达及时率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1650">
            <w:pPr>
              <w:jc w:val="center"/>
            </w:pPr>
            <w:r>
              <w:rPr>
                <w:rFonts w:ascii="宋体" w:hAnsi="宋体" w:eastAsia="宋体"/>
                <w:sz w:val="16"/>
              </w:rPr>
              <w:t>&gt;=30日内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6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78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D0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94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16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FF64">
            <w:pPr>
              <w:jc w:val="center"/>
            </w:pPr>
            <w:r>
              <w:rPr>
                <w:rFonts w:ascii="宋体" w:hAnsi="宋体" w:eastAsia="宋体"/>
                <w:sz w:val="16"/>
              </w:rPr>
              <w:t>=30日内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98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55380">
            <w:pPr>
              <w:jc w:val="center"/>
            </w:pPr>
          </w:p>
        </w:tc>
      </w:tr>
      <w:tr w14:paraId="1C047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C15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CEB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D8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6FEB">
            <w:pPr>
              <w:jc w:val="center"/>
            </w:pPr>
            <w:r>
              <w:rPr>
                <w:rFonts w:ascii="宋体" w:hAnsi="宋体" w:eastAsia="宋体"/>
                <w:sz w:val="16"/>
              </w:rPr>
              <w:t>特困供养老人补助标准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1496">
            <w:pPr>
              <w:jc w:val="center"/>
            </w:pPr>
            <w:r>
              <w:rPr>
                <w:rFonts w:ascii="宋体" w:hAnsi="宋体" w:eastAsia="宋体"/>
                <w:sz w:val="16"/>
              </w:rPr>
              <w:t>&lt;=1035元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D4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A7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27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0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367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9703">
            <w:pPr>
              <w:jc w:val="center"/>
            </w:pPr>
            <w:r>
              <w:rPr>
                <w:rFonts w:ascii="宋体" w:hAnsi="宋体" w:eastAsia="宋体"/>
                <w:sz w:val="16"/>
              </w:rPr>
              <w:t>=1035元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D215">
            <w:pPr>
              <w:jc w:val="center"/>
            </w:pPr>
            <w:r>
              <w:rPr>
                <w:rFonts w:ascii="宋体" w:hAnsi="宋体" w:eastAsia="宋体"/>
                <w:sz w:val="16"/>
              </w:rPr>
              <w:t>14.55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BB601">
            <w:pPr>
              <w:jc w:val="center"/>
            </w:pPr>
            <w:r>
              <w:rPr>
                <w:rFonts w:ascii="宋体" w:hAnsi="宋体" w:eastAsia="宋体"/>
                <w:sz w:val="16"/>
              </w:rPr>
              <w:t>原因：根据实际情况进行支出，每月特困人员数量会有变动，结余资金已</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14:paraId="11161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7B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4E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E9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0887">
            <w:pPr>
              <w:jc w:val="center"/>
            </w:pPr>
            <w:r>
              <w:rPr>
                <w:rFonts w:ascii="宋体" w:hAnsi="宋体" w:eastAsia="宋体"/>
                <w:sz w:val="16"/>
              </w:rPr>
              <w:t>供养老人生活水平情况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2585">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2F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0A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B2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B7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9D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1D13">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53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5BA50">
            <w:pPr>
              <w:jc w:val="center"/>
            </w:pPr>
          </w:p>
        </w:tc>
      </w:tr>
      <w:tr w14:paraId="4CB99F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C8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CA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01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A4C5">
            <w:pPr>
              <w:jc w:val="center"/>
            </w:pPr>
            <w:r>
              <w:rPr>
                <w:rFonts w:ascii="宋体" w:hAnsi="宋体" w:eastAsia="宋体"/>
                <w:sz w:val="16"/>
              </w:rPr>
              <w:t>特困供养老人满意度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F50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AB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5B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7F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27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AF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D0F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66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2F893">
            <w:pPr>
              <w:jc w:val="center"/>
            </w:pPr>
          </w:p>
        </w:tc>
      </w:tr>
      <w:tr w14:paraId="27F22E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8D6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34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207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01C2">
            <w:pPr>
              <w:jc w:val="center"/>
            </w:pPr>
            <w:r>
              <w:rPr>
                <w:rFonts w:ascii="宋体" w:hAnsi="宋体" w:eastAsia="宋体"/>
                <w:sz w:val="16"/>
              </w:rPr>
              <w:t>89.09分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24C7A5"/>
        </w:tc>
      </w:tr>
    </w:tbl>
    <w:p w14:paraId="29FB2FF6">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7"/>
        <w:gridCol w:w="776"/>
        <w:gridCol w:w="632"/>
        <w:gridCol w:w="614"/>
        <w:gridCol w:w="630"/>
      </w:tblGrid>
      <w:tr w14:paraId="0A7CF463">
        <w:tblPrEx>
          <w:tblCellMar>
            <w:top w:w="0" w:type="dxa"/>
            <w:left w:w="108" w:type="dxa"/>
            <w:bottom w:w="0" w:type="dxa"/>
            <w:right w:w="108" w:type="dxa"/>
          </w:tblCellMar>
        </w:tblPrEx>
        <w:tc>
          <w:tcPr>
            <w:tcW w:w="8848" w:type="dxa"/>
            <w:gridSpan w:val="14"/>
            <w:vAlign w:val="center"/>
          </w:tcPr>
          <w:p w14:paraId="41B0A64D">
            <w:pPr>
              <w:jc w:val="center"/>
            </w:pPr>
            <w:r>
              <w:rPr>
                <w:rFonts w:ascii="宋体" w:hAnsi="宋体" w:eastAsia="宋体"/>
                <w:sz w:val="24"/>
              </w:rPr>
              <w:t>项目支出绩效自评表</w:t>
            </w:r>
          </w:p>
        </w:tc>
      </w:tr>
      <w:tr w14:paraId="215B2B1C">
        <w:tblPrEx>
          <w:tblCellMar>
            <w:top w:w="0" w:type="dxa"/>
            <w:left w:w="108" w:type="dxa"/>
            <w:bottom w:w="0" w:type="dxa"/>
            <w:right w:w="108" w:type="dxa"/>
          </w:tblCellMar>
        </w:tblPrEx>
        <w:tc>
          <w:tcPr>
            <w:tcW w:w="8848" w:type="dxa"/>
            <w:gridSpan w:val="14"/>
            <w:vAlign w:val="center"/>
          </w:tcPr>
          <w:p w14:paraId="34C65B7E">
            <w:pPr>
              <w:jc w:val="center"/>
            </w:pPr>
            <w:r>
              <w:rPr>
                <w:rFonts w:ascii="宋体" w:hAnsi="宋体" w:eastAsia="宋体"/>
                <w:sz w:val="24"/>
              </w:rPr>
              <w:t>(2024年度)</w:t>
            </w:r>
          </w:p>
        </w:tc>
      </w:tr>
      <w:tr w14:paraId="1F5BA5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E5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71E8B7">
            <w:pPr>
              <w:jc w:val="center"/>
            </w:pPr>
            <w:r>
              <w:rPr>
                <w:rFonts w:ascii="宋体" w:hAnsi="宋体" w:eastAsia="宋体"/>
                <w:sz w:val="16"/>
              </w:rPr>
              <w:t>2024年困难群众救助补助资金项目</w:t>
            </w:r>
          </w:p>
        </w:tc>
      </w:tr>
      <w:tr w14:paraId="590DF3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CC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548BB">
            <w:pPr>
              <w:jc w:val="center"/>
            </w:pPr>
            <w:r>
              <w:rPr>
                <w:rFonts w:ascii="宋体" w:hAnsi="宋体" w:eastAsia="宋体"/>
                <w:sz w:val="16"/>
              </w:rPr>
              <w:t>阿图什市敬老院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8C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14DCA0">
            <w:pPr>
              <w:jc w:val="center"/>
            </w:pPr>
            <w:r>
              <w:rPr>
                <w:rFonts w:ascii="宋体" w:hAnsi="宋体" w:eastAsia="宋体"/>
                <w:sz w:val="16"/>
              </w:rPr>
              <w:t>阿图什市敬老院</w:t>
            </w:r>
          </w:p>
        </w:tc>
      </w:tr>
      <w:tr w14:paraId="54EEB0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B61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AE2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656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F9A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85E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48F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42C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AAAB">
            <w:pPr>
              <w:jc w:val="center"/>
            </w:pPr>
            <w:r>
              <w:rPr>
                <w:rFonts w:ascii="宋体" w:hAnsi="宋体" w:eastAsia="宋体"/>
                <w:sz w:val="16"/>
              </w:rPr>
              <w:t>得分</w:t>
            </w:r>
          </w:p>
        </w:tc>
      </w:tr>
      <w:tr w14:paraId="4A8A6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A68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71B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9A52A">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B024F">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42D75">
            <w:pPr>
              <w:jc w:val="center"/>
            </w:pPr>
            <w:r>
              <w:rPr>
                <w:rFonts w:ascii="宋体" w:hAnsi="宋体" w:eastAsia="宋体"/>
                <w:sz w:val="16"/>
              </w:rPr>
              <w:t>15.98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C8B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A9E62">
            <w:pPr>
              <w:jc w:val="center"/>
            </w:pPr>
            <w:r>
              <w:rPr>
                <w:rFonts w:ascii="宋体" w:hAnsi="宋体" w:eastAsia="宋体"/>
                <w:sz w:val="16"/>
              </w:rPr>
              <w:t>48.7%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9F1A">
            <w:pPr>
              <w:jc w:val="center"/>
            </w:pPr>
            <w:r>
              <w:rPr>
                <w:rFonts w:ascii="宋体" w:hAnsi="宋体" w:eastAsia="宋体"/>
                <w:sz w:val="16"/>
              </w:rPr>
              <w:t>0.00分</w:t>
            </w:r>
          </w:p>
        </w:tc>
      </w:tr>
      <w:tr w14:paraId="70F51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BE6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DB0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48310">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AA15A">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6958F">
            <w:pPr>
              <w:jc w:val="center"/>
            </w:pPr>
            <w:r>
              <w:rPr>
                <w:rFonts w:ascii="宋体" w:hAnsi="宋体" w:eastAsia="宋体"/>
                <w:sz w:val="16"/>
              </w:rPr>
              <w:t>15.98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BE4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11E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FEEB">
            <w:pPr>
              <w:jc w:val="center"/>
            </w:pPr>
            <w:r>
              <w:rPr>
                <w:rFonts w:ascii="宋体" w:hAnsi="宋体" w:eastAsia="宋体"/>
                <w:sz w:val="16"/>
              </w:rPr>
              <w:t>—</w:t>
            </w:r>
          </w:p>
        </w:tc>
      </w:tr>
      <w:tr w14:paraId="580AC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BBF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60C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EAF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B00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33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CC8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6C9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6661C">
            <w:pPr>
              <w:jc w:val="center"/>
            </w:pPr>
            <w:r>
              <w:rPr>
                <w:rFonts w:ascii="宋体" w:hAnsi="宋体" w:eastAsia="宋体"/>
                <w:sz w:val="16"/>
              </w:rPr>
              <w:t>—</w:t>
            </w:r>
          </w:p>
        </w:tc>
      </w:tr>
      <w:tr w14:paraId="4F94F1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6655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22AB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272B3E">
            <w:pPr>
              <w:jc w:val="center"/>
            </w:pPr>
            <w:r>
              <w:rPr>
                <w:rFonts w:ascii="宋体" w:hAnsi="宋体" w:eastAsia="宋体"/>
                <w:sz w:val="16"/>
              </w:rPr>
              <w:t>实际完成情况</w:t>
            </w:r>
          </w:p>
        </w:tc>
      </w:tr>
      <w:tr w14:paraId="523FC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EC5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FDA8DA">
            <w:pPr>
              <w:jc w:val="both"/>
            </w:pPr>
            <w:r>
              <w:rPr>
                <w:rFonts w:ascii="宋体" w:hAnsi="宋体" w:eastAsia="宋体"/>
                <w:sz w:val="16"/>
              </w:rPr>
              <w:t xml:space="preserve">根据《阿图什市敬老院会议纪要》，安排项目资金32.82万元，主要用于聘用保安4人，日常维修维护期限12个月，水、电、网络费缴纳期限12个月，消防保险期限12个月，天然气、暖气费缴纳期限12个月；通过项目的实施，保障敬老院各项工作顺利开展，做好人民群众服务工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8AE695">
            <w:pPr>
              <w:jc w:val="both"/>
            </w:pPr>
            <w:r>
              <w:rPr>
                <w:rFonts w:ascii="宋体" w:hAnsi="宋体" w:eastAsia="宋体"/>
                <w:sz w:val="16"/>
              </w:rPr>
              <w:t xml:space="preserve">本项目共计支出15.9784万元，用于聘用保安4人，日常维修维护期限12个月，水、电、网络费缴纳期限12个月，消防保险期限12个月，天然气、暖气费缴纳期限12个月；通过实施本项目，保障敬老院各项工作顺利开展，做好人民群众服务工作。 </w:t>
            </w:r>
            <w:r>
              <w:rPr>
                <w:rFonts w:ascii="宋体" w:hAnsi="宋体" w:eastAsia="宋体"/>
                <w:sz w:val="16"/>
              </w:rPr>
              <w:br w:type="textWrapping"/>
            </w:r>
          </w:p>
        </w:tc>
      </w:tr>
      <w:tr w14:paraId="19B83B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692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EE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47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08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E7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73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97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7E0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F1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53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9C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27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783FA">
            <w:pPr>
              <w:jc w:val="center"/>
            </w:pPr>
            <w:r>
              <w:rPr>
                <w:rFonts w:ascii="宋体" w:hAnsi="宋体" w:eastAsia="宋体"/>
                <w:sz w:val="16"/>
              </w:rPr>
              <w:t>偏差原因分析及改进措施</w:t>
            </w:r>
          </w:p>
        </w:tc>
      </w:tr>
      <w:tr w14:paraId="2A68B1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0B9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10F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891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90D3">
            <w:pPr>
              <w:jc w:val="center"/>
            </w:pPr>
            <w:r>
              <w:rPr>
                <w:rFonts w:ascii="宋体" w:hAnsi="宋体" w:eastAsia="宋体"/>
                <w:sz w:val="16"/>
              </w:rPr>
              <w:t>聘用保安人数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3068">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D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2D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C1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C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94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9EFB">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05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C86AE">
            <w:pPr>
              <w:jc w:val="center"/>
            </w:pPr>
          </w:p>
        </w:tc>
      </w:tr>
      <w:tr w14:paraId="58D75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731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CC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C6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156F">
            <w:pPr>
              <w:jc w:val="center"/>
            </w:pPr>
            <w:r>
              <w:rPr>
                <w:rFonts w:ascii="宋体" w:hAnsi="宋体" w:eastAsia="宋体"/>
                <w:sz w:val="16"/>
              </w:rPr>
              <w:t>日常维修维护期限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045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44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6F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754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FC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21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277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61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F9FC1">
            <w:pPr>
              <w:jc w:val="center"/>
            </w:pPr>
          </w:p>
        </w:tc>
      </w:tr>
      <w:tr w14:paraId="591EC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60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A3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12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EF8A">
            <w:pPr>
              <w:jc w:val="center"/>
            </w:pPr>
            <w:r>
              <w:rPr>
                <w:rFonts w:ascii="宋体" w:hAnsi="宋体" w:eastAsia="宋体"/>
                <w:sz w:val="16"/>
              </w:rPr>
              <w:t>水、电、网络费缴纳期限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783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8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E5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7A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3F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00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856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986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742B0">
            <w:pPr>
              <w:jc w:val="center"/>
            </w:pPr>
          </w:p>
        </w:tc>
      </w:tr>
      <w:tr w14:paraId="05C7A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D69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C2F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54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428F">
            <w:pPr>
              <w:jc w:val="center"/>
            </w:pPr>
            <w:r>
              <w:rPr>
                <w:rFonts w:ascii="宋体" w:hAnsi="宋体" w:eastAsia="宋体"/>
                <w:sz w:val="16"/>
              </w:rPr>
              <w:t>消防保险期限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22D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01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EF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A6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7D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9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471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208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41BEC">
            <w:pPr>
              <w:jc w:val="center"/>
            </w:pPr>
          </w:p>
        </w:tc>
      </w:tr>
      <w:tr w14:paraId="73B7F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F1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5F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19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3243">
            <w:pPr>
              <w:jc w:val="center"/>
            </w:pPr>
            <w:r>
              <w:rPr>
                <w:rFonts w:ascii="宋体" w:hAnsi="宋体" w:eastAsia="宋体"/>
                <w:sz w:val="16"/>
              </w:rPr>
              <w:t>天然气、暖气费缴纳期限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985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C3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59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43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34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28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B98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3E3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D10EA">
            <w:pPr>
              <w:jc w:val="center"/>
            </w:pPr>
          </w:p>
        </w:tc>
      </w:tr>
      <w:tr w14:paraId="46CA0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C4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8C4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D3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44A9">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9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85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EC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B3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CE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B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5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4E4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D5D2E">
            <w:pPr>
              <w:jc w:val="center"/>
            </w:pPr>
          </w:p>
        </w:tc>
      </w:tr>
      <w:tr w14:paraId="32E39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A6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11C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3D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9DE3">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B94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A7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B3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79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38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D5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06D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DF5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80449">
            <w:pPr>
              <w:jc w:val="center"/>
            </w:pPr>
          </w:p>
        </w:tc>
      </w:tr>
      <w:tr w14:paraId="711CB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7CD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48A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AA9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08F9">
            <w:pPr>
              <w:jc w:val="center"/>
            </w:pPr>
            <w:r>
              <w:rPr>
                <w:rFonts w:ascii="宋体" w:hAnsi="宋体" w:eastAsia="宋体"/>
                <w:sz w:val="16"/>
              </w:rPr>
              <w:t>聘用保安人员成本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CE28">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C76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F2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C2E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07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02E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3D5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2CF4">
            <w:pPr>
              <w:jc w:val="center"/>
            </w:pPr>
            <w:r>
              <w:rPr>
                <w:rFonts w:ascii="宋体" w:hAnsi="宋体" w:eastAsia="宋体"/>
                <w:sz w:val="16"/>
              </w:rPr>
              <w:t>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BEA90">
            <w:pPr>
              <w:jc w:val="center"/>
            </w:pPr>
            <w:r>
              <w:rPr>
                <w:rFonts w:ascii="宋体" w:hAnsi="宋体" w:eastAsia="宋体"/>
                <w:sz w:val="16"/>
              </w:rPr>
              <w:t>原因：第三方机构未及时提供支出资料，未能按时支出；措施：及时催收支出资料，加快项目支出进度，减少偏差。</w:t>
            </w:r>
          </w:p>
        </w:tc>
      </w:tr>
      <w:tr w14:paraId="2FCB3E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70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0D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95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BA57">
            <w:pPr>
              <w:jc w:val="center"/>
            </w:pPr>
            <w:r>
              <w:rPr>
                <w:rFonts w:ascii="宋体" w:hAnsi="宋体" w:eastAsia="宋体"/>
                <w:sz w:val="16"/>
              </w:rPr>
              <w:t>日常维修维护成本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2841">
            <w:pPr>
              <w:jc w:val="center"/>
            </w:pPr>
            <w:r>
              <w:rPr>
                <w:rFonts w:ascii="宋体" w:hAnsi="宋体" w:eastAsia="宋体"/>
                <w:sz w:val="16"/>
              </w:rPr>
              <w:t>&lt;=8.26万元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30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EE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DB4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3D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D06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B0E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62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9D9E7">
            <w:pPr>
              <w:jc w:val="center"/>
            </w:pPr>
            <w:r>
              <w:rPr>
                <w:rFonts w:ascii="宋体" w:hAnsi="宋体" w:eastAsia="宋体"/>
                <w:sz w:val="16"/>
              </w:rPr>
              <w:t>原因：第三方机构未及时提供支出资料，未能按时支出；措施：及时催收支出资料，加快项目支出进度，减少偏差。</w:t>
            </w:r>
          </w:p>
        </w:tc>
      </w:tr>
      <w:tr w14:paraId="4FF3D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5F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B4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FA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DEF8">
            <w:pPr>
              <w:jc w:val="center"/>
            </w:pPr>
            <w:r>
              <w:rPr>
                <w:rFonts w:ascii="宋体" w:hAnsi="宋体" w:eastAsia="宋体"/>
                <w:sz w:val="16"/>
              </w:rPr>
              <w:t>水、电、网络费成本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71D0">
            <w:pPr>
              <w:jc w:val="center"/>
            </w:pPr>
            <w:r>
              <w:rPr>
                <w:rFonts w:ascii="宋体" w:hAnsi="宋体" w:eastAsia="宋体"/>
                <w:sz w:val="16"/>
              </w:rPr>
              <w:t>&lt;=12.78万元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7E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9B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02D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81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D6E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2DF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74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2962C">
            <w:pPr>
              <w:jc w:val="center"/>
            </w:pPr>
            <w:r>
              <w:rPr>
                <w:rFonts w:ascii="宋体" w:hAnsi="宋体" w:eastAsia="宋体"/>
                <w:sz w:val="16"/>
              </w:rPr>
              <w:t>原因：第三方机构未及时提供支出资料，未能按时支出；措施：及时催收支出资料，加快项目支出进度，减少偏差。</w:t>
            </w:r>
          </w:p>
        </w:tc>
      </w:tr>
      <w:tr w14:paraId="3D0E6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A0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7C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FE1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D093">
            <w:pPr>
              <w:jc w:val="center"/>
            </w:pPr>
            <w:r>
              <w:rPr>
                <w:rFonts w:ascii="宋体" w:hAnsi="宋体" w:eastAsia="宋体"/>
                <w:sz w:val="16"/>
              </w:rPr>
              <w:t>消防保险成本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0581">
            <w:pPr>
              <w:jc w:val="center"/>
            </w:pPr>
            <w:r>
              <w:rPr>
                <w:rFonts w:ascii="宋体" w:hAnsi="宋体" w:eastAsia="宋体"/>
                <w:sz w:val="16"/>
              </w:rPr>
              <w:t>&lt;=2.28万元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6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A8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424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4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D37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54B9">
            <w:pPr>
              <w:jc w:val="center"/>
            </w:pPr>
            <w:r>
              <w:rPr>
                <w:rFonts w:ascii="宋体" w:hAnsi="宋体" w:eastAsia="宋体"/>
                <w:sz w:val="16"/>
              </w:rPr>
              <w:t>=0.9784万元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BE4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0CE92">
            <w:pPr>
              <w:jc w:val="center"/>
            </w:pPr>
            <w:r>
              <w:rPr>
                <w:rFonts w:ascii="宋体" w:hAnsi="宋体" w:eastAsia="宋体"/>
                <w:sz w:val="16"/>
              </w:rPr>
              <w:t>原因：第三方机构未及时提供支出资料，未能按时支出；措施：及时催收支出资料，加快项目支出进度，减少偏差。</w:t>
            </w:r>
          </w:p>
        </w:tc>
      </w:tr>
      <w:tr w14:paraId="3A523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6C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378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63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CFC15">
            <w:pPr>
              <w:jc w:val="center"/>
            </w:pPr>
            <w:r>
              <w:rPr>
                <w:rFonts w:ascii="宋体" w:hAnsi="宋体" w:eastAsia="宋体"/>
                <w:sz w:val="16"/>
              </w:rPr>
              <w:t>天然气、暖气费用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6163">
            <w:pPr>
              <w:jc w:val="center"/>
            </w:pPr>
            <w:r>
              <w:rPr>
                <w:rFonts w:ascii="宋体" w:hAnsi="宋体" w:eastAsia="宋体"/>
                <w:sz w:val="16"/>
              </w:rPr>
              <w:t>&lt;=5.80万元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6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F1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98F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13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824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C33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A1A8">
            <w:pPr>
              <w:jc w:val="center"/>
            </w:pPr>
            <w:r>
              <w:rPr>
                <w:rFonts w:ascii="宋体" w:hAnsi="宋体" w:eastAsia="宋体"/>
                <w:sz w:val="16"/>
              </w:rPr>
              <w:t>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D8CD8">
            <w:pPr>
              <w:jc w:val="center"/>
            </w:pPr>
            <w:r>
              <w:rPr>
                <w:rFonts w:ascii="宋体" w:hAnsi="宋体" w:eastAsia="宋体"/>
                <w:sz w:val="16"/>
              </w:rPr>
              <w:t>原因：第三方机构未及时提供支出资料，未能按时支出；措施：及时催收支出资料，加快项目支出进度，减少偏差。</w:t>
            </w:r>
          </w:p>
        </w:tc>
      </w:tr>
      <w:tr w14:paraId="70F99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557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84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FA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E415">
            <w:pPr>
              <w:jc w:val="center"/>
            </w:pPr>
            <w:r>
              <w:rPr>
                <w:rFonts w:ascii="宋体" w:hAnsi="宋体" w:eastAsia="宋体"/>
                <w:sz w:val="16"/>
              </w:rPr>
              <w:t>保障单位日常工作正常运转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7E2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5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0A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19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5B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81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ED3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AD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55967">
            <w:pPr>
              <w:jc w:val="center"/>
            </w:pPr>
          </w:p>
        </w:tc>
      </w:tr>
      <w:tr w14:paraId="61822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30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A5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92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C886">
            <w:pPr>
              <w:jc w:val="center"/>
            </w:pPr>
            <w:r>
              <w:rPr>
                <w:rFonts w:ascii="宋体" w:hAnsi="宋体" w:eastAsia="宋体"/>
                <w:sz w:val="16"/>
              </w:rPr>
              <w:t>保安人员满意度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03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43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51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1E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92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CC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10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AD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B21FC">
            <w:pPr>
              <w:jc w:val="center"/>
            </w:pPr>
          </w:p>
        </w:tc>
      </w:tr>
      <w:tr w14:paraId="75332E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7F6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517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67F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2148">
            <w:pPr>
              <w:jc w:val="center"/>
            </w:pPr>
            <w:r>
              <w:rPr>
                <w:rFonts w:ascii="宋体" w:hAnsi="宋体" w:eastAsia="宋体"/>
                <w:sz w:val="16"/>
              </w:rPr>
              <w:t>74.73分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F93F3A"/>
        </w:tc>
      </w:tr>
    </w:tbl>
    <w:p w14:paraId="4340223A">
      <w:r>
        <w:br w:type="page"/>
      </w:r>
    </w:p>
    <w:p w14:paraId="3A4640D3">
      <w:pPr>
        <w:spacing w:line="640" w:lineRule="exact"/>
        <w:ind w:firstLine="640"/>
        <w:jc w:val="both"/>
        <w:outlineLvl w:val="2"/>
      </w:pPr>
      <w:r>
        <w:rPr>
          <w:rFonts w:ascii="黑体" w:hAnsi="黑体" w:eastAsia="黑体"/>
          <w:sz w:val="32"/>
        </w:rPr>
        <w:t>十二、其他需说明的事项</w:t>
      </w:r>
    </w:p>
    <w:p w14:paraId="5094394D">
      <w:pPr>
        <w:spacing w:line="580" w:lineRule="exact"/>
        <w:ind w:firstLine="640"/>
        <w:jc w:val="both"/>
      </w:pPr>
      <w:r>
        <w:rPr>
          <w:rFonts w:ascii="仿宋_GB2312" w:hAnsi="仿宋_GB2312" w:eastAsia="仿宋_GB2312"/>
          <w:b w:val="0"/>
          <w:sz w:val="32"/>
        </w:rPr>
        <w:t>本单位无其他需说明的事项。</w:t>
      </w:r>
    </w:p>
    <w:p w14:paraId="40E98A3F">
      <w:r>
        <w:br w:type="page"/>
      </w:r>
    </w:p>
    <w:p w14:paraId="4E1F42CE">
      <w:pPr>
        <w:spacing w:line="240" w:lineRule="auto"/>
        <w:jc w:val="center"/>
        <w:outlineLvl w:val="1"/>
      </w:pPr>
      <w:r>
        <w:rPr>
          <w:rFonts w:ascii="黑体" w:hAnsi="黑体" w:eastAsia="黑体"/>
          <w:sz w:val="32"/>
        </w:rPr>
        <w:t>第三部分 专业名词解释</w:t>
      </w:r>
    </w:p>
    <w:p w14:paraId="3CDF10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59299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7DF4D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5162B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95CAC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FF870A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5CCA24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1F1F0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FECEA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6B425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7620AB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C0EC91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D695DD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EA32B0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746F7F">
      <w:r>
        <w:br w:type="page"/>
      </w:r>
    </w:p>
    <w:p w14:paraId="563BD501">
      <w:pPr>
        <w:spacing w:line="240" w:lineRule="auto"/>
        <w:jc w:val="center"/>
        <w:outlineLvl w:val="1"/>
      </w:pPr>
      <w:r>
        <w:rPr>
          <w:rFonts w:ascii="黑体" w:hAnsi="黑体" w:eastAsia="黑体"/>
          <w:sz w:val="32"/>
        </w:rPr>
        <w:t>第四部分 部门决算报表（见附表）</w:t>
      </w:r>
    </w:p>
    <w:p w14:paraId="3CFACDAD">
      <w:pPr>
        <w:spacing w:line="240" w:lineRule="auto"/>
        <w:ind w:firstLine="640"/>
        <w:jc w:val="both"/>
      </w:pPr>
      <w:r>
        <w:rPr>
          <w:rFonts w:ascii="仿宋_GB2312" w:hAnsi="仿宋_GB2312" w:eastAsia="仿宋_GB2312"/>
          <w:b w:val="0"/>
          <w:sz w:val="32"/>
        </w:rPr>
        <w:t>一、《收入支出决算总表》</w:t>
      </w:r>
    </w:p>
    <w:p w14:paraId="619E0036">
      <w:pPr>
        <w:spacing w:line="240" w:lineRule="auto"/>
        <w:ind w:firstLine="640"/>
        <w:jc w:val="both"/>
      </w:pPr>
      <w:r>
        <w:rPr>
          <w:rFonts w:ascii="仿宋_GB2312" w:hAnsi="仿宋_GB2312" w:eastAsia="仿宋_GB2312"/>
          <w:b w:val="0"/>
          <w:sz w:val="32"/>
        </w:rPr>
        <w:t>二、《收入决算表》</w:t>
      </w:r>
    </w:p>
    <w:p w14:paraId="011A9E2F">
      <w:pPr>
        <w:spacing w:line="240" w:lineRule="auto"/>
        <w:ind w:firstLine="640"/>
        <w:jc w:val="both"/>
      </w:pPr>
      <w:r>
        <w:rPr>
          <w:rFonts w:ascii="仿宋_GB2312" w:hAnsi="仿宋_GB2312" w:eastAsia="仿宋_GB2312"/>
          <w:b w:val="0"/>
          <w:sz w:val="32"/>
        </w:rPr>
        <w:t>三、《支出决算表》</w:t>
      </w:r>
    </w:p>
    <w:p w14:paraId="7C4A99F8">
      <w:pPr>
        <w:spacing w:line="240" w:lineRule="auto"/>
        <w:ind w:firstLine="640"/>
        <w:jc w:val="both"/>
      </w:pPr>
      <w:r>
        <w:rPr>
          <w:rFonts w:ascii="仿宋_GB2312" w:hAnsi="仿宋_GB2312" w:eastAsia="仿宋_GB2312"/>
          <w:b w:val="0"/>
          <w:sz w:val="32"/>
        </w:rPr>
        <w:t>四、《财政拨款收入支出决算总表》</w:t>
      </w:r>
    </w:p>
    <w:p w14:paraId="5B3559CC">
      <w:pPr>
        <w:spacing w:line="240" w:lineRule="auto"/>
        <w:ind w:firstLine="640"/>
        <w:jc w:val="both"/>
      </w:pPr>
      <w:r>
        <w:rPr>
          <w:rFonts w:ascii="仿宋_GB2312" w:hAnsi="仿宋_GB2312" w:eastAsia="仿宋_GB2312"/>
          <w:b w:val="0"/>
          <w:sz w:val="32"/>
        </w:rPr>
        <w:t>五、《一般公共预算财政拨款支出决算表》</w:t>
      </w:r>
    </w:p>
    <w:p w14:paraId="5FCF9BB3">
      <w:pPr>
        <w:spacing w:line="240" w:lineRule="auto"/>
        <w:ind w:firstLine="640"/>
        <w:jc w:val="both"/>
      </w:pPr>
      <w:r>
        <w:rPr>
          <w:rFonts w:ascii="仿宋_GB2312" w:hAnsi="仿宋_GB2312" w:eastAsia="仿宋_GB2312"/>
          <w:b w:val="0"/>
          <w:sz w:val="32"/>
        </w:rPr>
        <w:t>六、《一般公共预算财政拨款基本支出决算表》</w:t>
      </w:r>
    </w:p>
    <w:p w14:paraId="4F3F46BD">
      <w:pPr>
        <w:spacing w:line="240" w:lineRule="auto"/>
        <w:ind w:firstLine="640"/>
        <w:jc w:val="both"/>
      </w:pPr>
      <w:r>
        <w:rPr>
          <w:rFonts w:ascii="仿宋_GB2312" w:hAnsi="仿宋_GB2312" w:eastAsia="仿宋_GB2312"/>
          <w:b w:val="0"/>
          <w:sz w:val="32"/>
        </w:rPr>
        <w:t>七、《政府性基金预算财政拨款收入支出决算表》</w:t>
      </w:r>
    </w:p>
    <w:p w14:paraId="5337733A">
      <w:pPr>
        <w:spacing w:line="240" w:lineRule="auto"/>
        <w:ind w:firstLine="640"/>
        <w:jc w:val="both"/>
      </w:pPr>
      <w:r>
        <w:rPr>
          <w:rFonts w:ascii="仿宋_GB2312" w:hAnsi="仿宋_GB2312" w:eastAsia="仿宋_GB2312"/>
          <w:b w:val="0"/>
          <w:sz w:val="32"/>
        </w:rPr>
        <w:t>八、《国有资本经营预算财政拨款收入支出决算表》</w:t>
      </w:r>
    </w:p>
    <w:p w14:paraId="2F3337B9">
      <w:pPr>
        <w:spacing w:line="240" w:lineRule="auto"/>
        <w:ind w:firstLine="640"/>
        <w:jc w:val="both"/>
      </w:pPr>
      <w:r>
        <w:rPr>
          <w:rFonts w:ascii="仿宋_GB2312" w:hAnsi="仿宋_GB2312" w:eastAsia="仿宋_GB2312"/>
          <w:b w:val="0"/>
          <w:sz w:val="32"/>
        </w:rPr>
        <w:t>九、《财政拨款“三公”经费支出决算表》</w:t>
      </w:r>
    </w:p>
    <w:p w14:paraId="024349BE">
      <w:pPr>
        <w:spacing w:line="240" w:lineRule="auto"/>
        <w:ind w:firstLine="640"/>
        <w:jc w:val="both"/>
      </w:pPr>
    </w:p>
    <w:p w14:paraId="03E1A81F">
      <w:pPr>
        <w:spacing w:line="240" w:lineRule="auto"/>
        <w:ind w:firstLine="640"/>
        <w:jc w:val="both"/>
      </w:pPr>
    </w:p>
    <w:p w14:paraId="58A716A6">
      <w:pPr>
        <w:spacing w:line="240" w:lineRule="auto"/>
        <w:ind w:firstLine="640"/>
        <w:jc w:val="both"/>
      </w:pPr>
    </w:p>
    <w:p w14:paraId="73A264D2">
      <w:pPr>
        <w:spacing w:line="240" w:lineRule="auto"/>
        <w:ind w:firstLine="640"/>
        <w:jc w:val="both"/>
      </w:pPr>
    </w:p>
    <w:p w14:paraId="7438F51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F56EFF-7746-4126-BD0F-78142BE4E5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1047C5B-8C7B-488B-A123-B41507A81376}"/>
  </w:font>
  <w:font w:name="方正小标宋_GBK">
    <w:panose1 w:val="02000000000000000000"/>
    <w:charset w:val="86"/>
    <w:family w:val="script"/>
    <w:pitch w:val="default"/>
    <w:sig w:usb0="A00002BF" w:usb1="38CF7CFA" w:usb2="00082016" w:usb3="00000000" w:csb0="00040001" w:csb1="00000000"/>
    <w:embedRegular r:id="rId3" w:fontKey="{37FEDB89-9B34-43D5-BCA5-EAA9AF1D3ED2}"/>
  </w:font>
  <w:font w:name="楷体_GB2312">
    <w:altName w:val="楷体"/>
    <w:panose1 w:val="00000000000000000000"/>
    <w:charset w:val="00"/>
    <w:family w:val="auto"/>
    <w:pitch w:val="default"/>
    <w:sig w:usb0="00000000" w:usb1="00000000" w:usb2="00000000" w:usb3="00000000" w:csb0="00000000" w:csb1="00000000"/>
    <w:embedRegular r:id="rId4" w:fontKey="{EE7EDC06-4DD5-481B-BBC7-A3DB3CC3A60A}"/>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3E75D6"/>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AE11FC"/>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4479</Words>
  <Characters>5153</Characters>
  <Lines>0</Lines>
  <Paragraphs>0</Paragraphs>
  <TotalTime>3</TotalTime>
  <ScaleCrop>false</ScaleCrop>
  <LinksUpToDate>false</LinksUpToDate>
  <CharactersWithSpaces>5161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2025-09-08T08:46:34Z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