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2024年中央财政困难群众救助补助资金项目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项目名称：2024年中央财政困难群众救助补助资金项目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项目单位：阿图什市敬老院</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主管部门：阿图什市敬老院</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2024年中央财政困难群众救助补助资金项目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社会救助制度是政府和社会向有需要的困难群众提供物质和服务帮助的制度体系，是社会保障制度体系中最基础的制度。在中国式现代化进程中，做好保障和改善民生的工作，需要从多方面健全制度化的民生保障行动体系，社会救助在其中承担最后安全网的任务，防止任何人因任何自身不可克服的原因而陷入生活困境，助力困难群众摆脱困难、实现发展。从中国式现代化的宏观行动层面上看，社会救助制度首先通过兜底保障的功能推动“提低扩中”进程，让更多的低收入群众能够进入中等收入群体，为实现全体人民共同富裕作出贡献。其次通过对低收入群众的增能型救助，提高全社会的人力资本，助力高质量发展。低收入群众中蕴藏着发展潜力，通过积极的社会救助帮助他们渡过难关，开发其潜能，将有助于激发共同奋斗创造美好生活的能力、机会和动力。最后通过夯实兜底性民生保障体系，抵御全球化背景下各种风险的冲击。困难群众抵御风险的能力更差，在经济波动中往往会受到更大的冲击，要通过健全社会救助制度为困难群众构筑坚实的兜底保障，提升抗风险和抵御经济波动的能力，为维持社会稳定和提高经济韧性提供保障。</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eastAsia="仿宋_GB2312" w:hAnsi="仿宋_GB2312" w:cs="仿宋_GB2312" w:hint="eastAsia"/>
          <w:color w:val="auto"/>
          <w:sz w:val="32"/>
          <w:szCs w:val="30"/>
          <w:highlight w:val="none"/>
          <w:lang w:eastAsia="zh-CN"/>
        </w:rPr>
      </w:pPr>
      <w:r>
        <w:rPr>
          <w:rFonts w:ascii="仿宋_GB2312" w:hAnsi="仿宋_GB2312" w:cs="仿宋_GB2312" w:hint="eastAsia"/>
          <w:color w:val="auto"/>
          <w:sz w:val="32"/>
          <w:szCs w:val="30"/>
          <w:highlight w:val="none"/>
        </w:rPr>
        <w:t xml:space="preserve">根据《关于提前下达2024年中央财政困难群众救助补助资金预算的通知》克财社【2023】85号文件，下达资金121.71万元，主要用于保障特困供养老人生活；通过项目的实施统筹城乡特困人员救助供养工作，合理确定保障标准</w:t>
      </w:r>
      <w:r>
        <w:rPr>
          <w:rFonts w:ascii="仿宋_GB2312" w:hAnsi="仿宋_GB2312" w:cs="仿宋_GB2312" w:hint="eastAsia"/>
          <w:color w:val="auto"/>
          <w:sz w:val="32"/>
          <w:szCs w:val="30"/>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实施主体：本项目的主管部门为阿图什市敬老院,实施单位为阿图什市敬老院，主要职责：项目实施过程中严格按照实施方案进行实施并及时进行监督管理，项目实施后进行及时验收及后期管理。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1</w:t>
      </w:r>
      <w:r>
        <w:rPr>
          <w:rStyle w:val="Strong"/>
          <w:rFonts w:ascii="仿宋_GB2312" w:hAnsi="仿宋_GB2312" w:cs="仿宋_GB2312" w:hint="eastAsia"/>
          <w:b w:val="0"/>
          <w:bCs w:val="0"/>
          <w:color w:val="auto"/>
          <w:spacing w:val="-4"/>
          <w:sz w:val="32"/>
          <w:szCs w:val="30"/>
          <w:highlight w:val="none"/>
          <w:lang w:val="en-US" w:eastAsia="zh-CN"/>
        </w:rPr>
        <w:t xml:space="preserve">21.71</w:t>
      </w:r>
      <w:r>
        <w:rPr>
          <w:rStyle w:val="Strong"/>
          <w:rFonts w:ascii="仿宋_GB2312" w:hAnsi="仿宋_GB2312" w:cs="仿宋_GB2312" w:hint="eastAsia"/>
          <w:b w:val="0"/>
          <w:bCs w:val="0"/>
          <w:color w:val="auto"/>
          <w:spacing w:val="-4"/>
          <w:sz w:val="32"/>
          <w:szCs w:val="30"/>
          <w:highlight w:val="none"/>
        </w:rPr>
        <w:t xml:space="preserve">万元，资金来源为中央专项资金。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资金使用情况：根据项目实施情况，项目资金实际支付108.468万元，资金执行率达到</w:t>
      </w:r>
      <w:r>
        <w:rPr>
          <w:rStyle w:val="Strong"/>
          <w:rFonts w:ascii="仿宋_GB2312" w:hAnsi="仿宋_GB2312" w:cs="仿宋_GB2312" w:hint="eastAsia"/>
          <w:b w:val="0"/>
          <w:color w:val="auto"/>
          <w:spacing w:val="-4"/>
          <w:sz w:val="32"/>
          <w:szCs w:val="30"/>
          <w:highlight w:val="none"/>
          <w:lang w:val="en-US" w:eastAsia="zh-CN"/>
        </w:rPr>
        <w:t xml:space="preserve">8</w:t>
      </w:r>
      <w:r>
        <w:rPr>
          <w:rStyle w:val="Strong"/>
          <w:rFonts w:ascii="仿宋_GB2312" w:hAnsi="仿宋_GB2312" w:cs="仿宋_GB2312" w:hint="eastAsia"/>
          <w:b w:val="0"/>
          <w:color w:val="auto"/>
          <w:spacing w:val="-4"/>
          <w:sz w:val="32"/>
          <w:szCs w:val="30"/>
          <w:highlight w:val="none"/>
          <w:lang w:val="en-US" w:eastAsia="zh-CN"/>
        </w:rPr>
        <w:t xml:space="preserve">9.1</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default"/>
          <w:b w:val="0"/>
          <w:color w:val="auto"/>
          <w:spacing w:val="-4"/>
          <w:sz w:val="32"/>
          <w:highlight w:val="none"/>
          <w:lang w:val="en-US" w:eastAsia="zh-CN"/>
        </w:rPr>
      </w:pPr>
      <w:r>
        <w:rPr>
          <w:rStyle w:val="Strong"/>
          <w:rFonts w:ascii="仿宋_GB2312" w:hint="eastAsia"/>
          <w:b w:val="0"/>
          <w:color w:val="auto"/>
          <w:spacing w:val="-4"/>
          <w:sz w:val="32"/>
          <w:highlight w:val="none"/>
        </w:rPr>
        <w:t xml:space="preserve">特困供养老人补助</w:t>
      </w:r>
      <w:r>
        <w:rPr>
          <w:rStyle w:val="Strong"/>
          <w:rFonts w:ascii="仿宋_GB2312" w:hint="eastAsia"/>
          <w:b w:val="0"/>
          <w:color w:val="auto"/>
          <w:spacing w:val="-4"/>
          <w:sz w:val="32"/>
          <w:highlight w:val="none"/>
          <w:lang w:val="en-US" w:eastAsia="zh-CN"/>
        </w:rPr>
        <w:t xml:space="preserve">成本：108.468万元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提前下达2024年中央财政困难群众救助补助资金预算的通知》克财社【2023】85号文件，下达资金121.71万元，主要用于保障特困供养老人生活；通过项目的实施统筹城乡特困人员救助供养工作，合理确定保障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2024年中央财政困难群众救助补助资金项目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（3）激励约束。绩效评价结果应与预算安排、政策调整、改进管理实质性挂钩，体现奖优罚劣和激励导向，有效要安排、低效要压减、无效要问责。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2024年中央财政困难群众救助补助资金项目</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2024年中央财政困难群众救助补助资金项目</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2024年中央财政困难群众救助补助资金项目</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2024年中央财政困难群众救助补助资金项目</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政策</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953"/>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953"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953"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买买提依明·卡斯木</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953"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肉孜买买提</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953"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古丽努尔</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财政困难群众救助补助资金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组织管理、产出与效益效果。在此基础上，以相关的项目数据为基础，综合运用不同的评价方法，结合评价标准和评分规则，2024年中央财政困难群众救助补助资金项目综合得分为98.31分，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2024年中央财政困难群众救助补助资金项目评价得分情况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16.45</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预算执行率扣0.55分</w:t>
            </w:r>
          </w:p>
        </w:tc>
      </w:tr>
      <w:tr>
        <w:tblPrEx>
          <w:tblW w:w="9309" w:type="dxa"/>
          <w:tblLayout w:type="fixed"/>
          <w:tblCellMar>
            <w:top w:w="0" w:type="dxa"/>
            <w:left w:w="10" w:type="dxa"/>
            <w:bottom w:w="0" w:type="dxa"/>
            <w:right w:w="10" w:type="dxa"/>
          </w:tblCellMar>
        </w:tblPrEx>
        <w:trPr>
          <w:trHeight w:hRule="exact" w:val="1228"/>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28.86</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质量指标扣0.38分</w:t>
            </w:r>
          </w:p>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成本指标扣0.76分</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98.31</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2024年中央财政困难群众救助补助资金项目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年已完成保障特困供养老人生活等工作；通过该项目的实施统筹城乡特困人员救助供养工作，合理确定保障标准。</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2024年中央财政困难群众救助补助资金项目</w:t>
      </w:r>
      <w:r>
        <w:rPr>
          <w:rFonts w:ascii="仿宋_GB2312" w:hAnsi="仿宋_GB2312" w:cs="仿宋_GB2312" w:hint="eastAsia"/>
          <w:color w:val="auto"/>
          <w:sz w:val="32"/>
          <w:szCs w:val="32"/>
          <w:highlight w:val="none"/>
        </w:rPr>
        <w:t xml:space="preserve">支出共计108.468万元，评价得分值</w:t>
      </w:r>
      <w:r>
        <w:rPr>
          <w:rFonts w:ascii="仿宋_GB2312" w:hAnsi="仿宋_GB2312" w:cs="仿宋_GB2312" w:hint="eastAsia"/>
          <w:color w:val="auto"/>
          <w:sz w:val="32"/>
          <w:szCs w:val="32"/>
          <w:highlight w:val="none"/>
          <w:lang w:val="en-US" w:eastAsia="zh-CN"/>
        </w:rPr>
        <w:t xml:space="preserve">98.31</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中央财政困难群众救助补助资金项目</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2024年中央财政困难群众救助补助资金项目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2024年中央财政困难群众救助补助资金项目</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2024年中央财政困难群众救助补助资金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2024年中央财政困难群众救助补助资金项目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数量指标为特困供养保障率，预期指标值是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95%，实际完成值是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95%，指标达到预期目标。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质量指标为城乡特困人员救助供养标准，预期指标值是不低于上年，实际完成值是不低于上年，指标达到预期目标。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89.1%，指标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达到预期目标。原因：根据实际情况进行支出，每月特困人员数量会有变动，结余资金已上交；措施：下一年度做好项目管理，提高工作执行进度，减少偏差。</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时效指标为中央困难群众救助补助资金下达及时率，预期指标值是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30日内，实际完成值是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30日内，指标达到预期目标。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rPr>
        <w:t xml:space="preserve">成本指标为特困供养老人补助标准，预期指标值是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1035元，实际完成值是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1035元，指标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达到预期目标。原因：根据实际情况进行支出，每月特困人员数量会有变动，结余资金已上交；措施：下一年度做好项目管理，提高工作执行进度，减少偏差。</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eastAsia="仿宋_GB2312" w:hint="eastAsia"/>
          <w:color w:val="auto"/>
          <w:sz w:val="32"/>
          <w:szCs w:val="32"/>
          <w:highlight w:val="none"/>
          <w:lang w:val="en-US" w:eastAsia="zh-CN"/>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w:t>
      </w:r>
      <w:r>
        <w:rPr>
          <w:rFonts w:ascii="仿宋_GB2312" w:hint="eastAsia"/>
          <w:color w:val="auto"/>
          <w:sz w:val="32"/>
          <w:szCs w:val="32"/>
          <w:highlight w:val="none"/>
          <w:lang w:val="en-US" w:eastAsia="zh-CN"/>
        </w:rPr>
        <w:t xml:space="preserve">为供养老人生活水平情况，预期指标值是有所提升，实际完成值是有所提升，指标达到预期目标。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满意度指标为特困供养老人满意度，预期指标值是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121.71</w:t>
      </w:r>
      <w:r>
        <w:rPr>
          <w:rFonts w:hint="eastAsia"/>
          <w:color w:val="auto"/>
          <w:sz w:val="32"/>
          <w:highlight w:val="none"/>
        </w:rPr>
        <w:t xml:space="preserve">万元，执行数108.468万元，执行率</w:t>
      </w:r>
      <w:r>
        <w:rPr>
          <w:rFonts w:hint="eastAsia"/>
          <w:color w:val="auto"/>
          <w:sz w:val="32"/>
          <w:highlight w:val="none"/>
          <w:lang w:val="en-US" w:eastAsia="zh-CN"/>
        </w:rPr>
        <w:t xml:space="preserve">89.1</w:t>
      </w:r>
      <w:r>
        <w:rPr>
          <w:rFonts w:hint="eastAsia"/>
          <w:color w:val="auto"/>
          <w:sz w:val="32"/>
          <w:highlight w:val="none"/>
        </w:rPr>
        <w:t xml:space="preserve">%，绩效指标完成率</w:t>
      </w:r>
      <w:r>
        <w:rPr>
          <w:rFonts w:hint="eastAsia"/>
          <w:color w:val="auto"/>
          <w:sz w:val="32"/>
          <w:highlight w:val="none"/>
          <w:lang w:val="en-US" w:eastAsia="zh-CN"/>
        </w:rPr>
        <w:t xml:space="preserve">96.9</w:t>
      </w:r>
      <w:r>
        <w:rPr>
          <w:rFonts w:hint="eastAsia"/>
          <w:color w:val="auto"/>
          <w:sz w:val="32"/>
          <w:highlight w:val="none"/>
        </w:rPr>
        <w:t xml:space="preserve">%，偏差率</w:t>
      </w:r>
      <w:r>
        <w:rPr>
          <w:rFonts w:hint="eastAsia"/>
          <w:color w:val="auto"/>
          <w:sz w:val="32"/>
          <w:highlight w:val="none"/>
          <w:lang w:val="en-US" w:eastAsia="zh-CN"/>
        </w:rPr>
        <w:t xml:space="preserve">7.8</w:t>
      </w:r>
      <w:r>
        <w:rPr>
          <w:rFonts w:hint="eastAsia"/>
          <w:color w:val="auto"/>
          <w:sz w:val="32"/>
          <w:highlight w:val="none"/>
        </w:rPr>
        <w:t xml:space="preserve">%。偏差原因：根据实际情况进行支出，每月特困人员数量会有变动，结余资金已上交。</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4.45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6.62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6.24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98.31</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DF98756AE249417A92454857BBDAF6F6_13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2025-09-05T07:55:02Z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DF98756AE249417A92454857BBDAF6F6_13</vt:lpwstr>
  </property>
  <property fmtid="{D5CDD505-2E9C-101B-9397-08002B2CF9AE}" pid="4" name="KSOTemplateDocerSaveRecord">
    <vt:lpwstr>eyJoZGlkIjoiYzZkNzQ4ZWFiZmQ4NTRhOWRkZTk3YTMwMjlmMmZhYmUiLCJ1c2VySWQiOiI1NzgxMjU4NDIifQ_x003D__x003D_</vt:lpwstr>
  </property>
</Properties>
</file>