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阿图什市敬老院2024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热爱敬老院事业、树立以院为家的思想，积极开展种植、养殖等多种经营生产劳动，带头发展庭院经济、组织院民参加力所能及的生产劳动。搞好卫生、安全知识宣传工作，经常给院民讲述安全、卫生常识、成立卫生、安全、生产小组</w:t>
      </w:r>
      <w:r>
        <w:rPr>
          <w:rFonts w:hint="eastAsia" w:ascii="仿宋_GB2312" w:hAnsi="仿宋_GB2312" w:eastAsia="仿宋_GB2312"/>
          <w:sz w:val="32"/>
          <w:lang w:eastAsia="zh-CN"/>
        </w:rPr>
        <w:t>，负责</w:t>
      </w:r>
      <w:r>
        <w:rPr>
          <w:rFonts w:ascii="仿宋_GB2312" w:hAnsi="仿宋_GB2312" w:eastAsia="仿宋_GB2312"/>
          <w:sz w:val="32"/>
        </w:rPr>
        <w:t>院内院外安全、卫生、消毒等检查、评比工作。抓好敬老院经济、组织院民开展形式多样的</w:t>
      </w:r>
      <w:r>
        <w:rPr>
          <w:rFonts w:hint="eastAsia" w:ascii="仿宋_GB2312" w:hAnsi="仿宋_GB2312" w:eastAsia="仿宋_GB2312"/>
          <w:sz w:val="32"/>
          <w:lang w:eastAsia="zh-CN"/>
        </w:rPr>
        <w:t>文体活动</w:t>
      </w:r>
      <w:r>
        <w:rPr>
          <w:rFonts w:ascii="仿宋_GB2312" w:hAnsi="仿宋_GB2312" w:eastAsia="仿宋_GB2312"/>
          <w:sz w:val="32"/>
        </w:rPr>
        <w:t>，协助抓好院内环境卫生，协助老人搞好房间及个人卫生，完成好领导交办的其他</w:t>
      </w:r>
      <w:r>
        <w:rPr>
          <w:rFonts w:hint="eastAsia" w:ascii="仿宋_GB2312" w:hAnsi="仿宋_GB2312" w:eastAsia="仿宋_GB2312"/>
          <w:sz w:val="32"/>
          <w:lang w:eastAsia="zh-CN"/>
        </w:rPr>
        <w:t>工作</w:t>
      </w:r>
      <w:r>
        <w:rPr>
          <w:rFonts w:ascii="仿宋_GB2312" w:hAnsi="仿宋_GB2312" w:eastAsia="仿宋_GB2312"/>
          <w:sz w:val="32"/>
        </w:rPr>
        <w:t>。</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阿图什市敬老院2024年度，实有人数1人，其中：在职人员1人，增加0人；离休人员0人，增加0人；退休人员0人,增加0人。</w:t>
      </w:r>
    </w:p>
    <w:p>
      <w:pPr>
        <w:spacing w:line="580" w:lineRule="exact"/>
        <w:ind w:firstLine="640"/>
        <w:jc w:val="both"/>
      </w:pPr>
      <w:r>
        <w:rPr>
          <w:rFonts w:ascii="仿宋_GB2312" w:hAnsi="仿宋_GB2312" w:eastAsia="仿宋_GB2312"/>
          <w:sz w:val="32"/>
        </w:rPr>
        <w:t>阿图什市敬老院无下属预算单位，下设4个科室，分别是：办公室、护理室、财务室、医务室。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2024年度收入总计197.79万元，</w:t>
      </w:r>
      <w:r>
        <w:rPr>
          <w:rFonts w:ascii="仿宋_GB2312" w:hAnsi="仿宋_GB2312" w:eastAsia="仿宋_GB2312"/>
          <w:b w:val="0"/>
          <w:sz w:val="32"/>
        </w:rPr>
        <w:t>其中：本年收入合计169.94万元，使用非财政拨款结余（含专用结余）0.00万元，年初结转和结余27.85万元。</w:t>
      </w:r>
    </w:p>
    <w:p>
      <w:pPr>
        <w:spacing w:line="580" w:lineRule="exact"/>
        <w:ind w:firstLine="640"/>
        <w:jc w:val="both"/>
      </w:pPr>
      <w:r>
        <w:rPr>
          <w:rFonts w:ascii="仿宋_GB2312" w:hAnsi="仿宋_GB2312" w:eastAsia="仿宋_GB2312"/>
          <w:b/>
          <w:sz w:val="32"/>
        </w:rPr>
        <w:t>2024年度支出总计197.79万元，</w:t>
      </w:r>
      <w:r>
        <w:rPr>
          <w:rFonts w:ascii="仿宋_GB2312" w:hAnsi="仿宋_GB2312" w:eastAsia="仿宋_GB2312"/>
          <w:b w:val="0"/>
          <w:sz w:val="32"/>
        </w:rPr>
        <w:t>其中：本年支出合计190.02万元，结余分配0.00万元，年末结转和结余7.77万元。</w:t>
      </w:r>
    </w:p>
    <w:p>
      <w:pPr>
        <w:spacing w:line="580" w:lineRule="exact"/>
        <w:ind w:firstLine="640"/>
        <w:jc w:val="both"/>
      </w:pPr>
      <w:r>
        <w:rPr>
          <w:rFonts w:ascii="仿宋_GB2312" w:hAnsi="仿宋_GB2312" w:eastAsia="仿宋_GB2312"/>
          <w:b w:val="0"/>
          <w:sz w:val="32"/>
        </w:rPr>
        <w:t>收入支出总体与上年相比，减少29.10万元，下降12.83%，主要原因是：本年减少城市特困人员救助供养支出、“双集中”补助资金。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本年收入169.94万元，</w:t>
      </w:r>
      <w:r>
        <w:rPr>
          <w:rFonts w:ascii="仿宋_GB2312" w:hAnsi="仿宋_GB2312" w:eastAsia="仿宋_GB2312"/>
          <w:b w:val="0"/>
          <w:sz w:val="32"/>
        </w:rPr>
        <w:t>其中：财政拨款收入169.94万元，占100.00%；上级补助收入0.00万元，占0.00%；事业收入0.00万元，占0.00%；经营收入0.00万元，占0.00%；附属单位上缴收入0.00万元，占0.00%；其他收入0.00万元，占0.00%。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本年支出190.02万元，</w:t>
      </w:r>
      <w:r>
        <w:rPr>
          <w:rFonts w:ascii="仿宋_GB2312" w:hAnsi="仿宋_GB2312" w:eastAsia="仿宋_GB2312"/>
          <w:b w:val="0"/>
          <w:sz w:val="32"/>
        </w:rPr>
        <w:t>其中：基本支出37.89万元，占19.94%；项目支出152.13万元，占80.06%；上缴上级支出0.00万元，占0.00%；经营支出0.00万元，占0.00%；对附属单位补助支出0.00万元，占0.00%。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2024年度财政拨款收入总计169.94万元，</w:t>
      </w:r>
      <w:r>
        <w:rPr>
          <w:rFonts w:ascii="仿宋_GB2312" w:hAnsi="仿宋_GB2312" w:eastAsia="仿宋_GB2312"/>
          <w:b w:val="0"/>
          <w:sz w:val="32"/>
        </w:rPr>
        <w:t>其中：年初财政拨款结转和结余0.00万元，本年财政拨款收入169.94万元。</w:t>
      </w:r>
      <w:r>
        <w:rPr>
          <w:rFonts w:ascii="仿宋_GB2312" w:hAnsi="仿宋_GB2312" w:eastAsia="仿宋_GB2312"/>
          <w:b/>
          <w:sz w:val="32"/>
        </w:rPr>
        <w:t>财政拨款支出总计169.94万元，</w:t>
      </w:r>
      <w:r>
        <w:rPr>
          <w:rFonts w:ascii="仿宋_GB2312" w:hAnsi="仿宋_GB2312" w:eastAsia="仿宋_GB2312"/>
          <w:b w:val="0"/>
          <w:sz w:val="32"/>
        </w:rPr>
        <w:t>其中：年末财政拨款结转和结余0.00万元，本年财政拨款支出169.94万元。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减少40.39万元，下降19.20%，主要原因是：本年减少城市特困人员救助供养支出、“双集中”补助资金。</w:t>
      </w:r>
      <w:r>
        <w:rPr>
          <w:rFonts w:ascii="仿宋_GB2312" w:hAnsi="仿宋_GB2312" w:eastAsia="仿宋_GB2312"/>
          <w:b/>
          <w:sz w:val="32"/>
        </w:rPr>
        <w:t>与年初预算相比，</w:t>
      </w:r>
      <w:r>
        <w:rPr>
          <w:rFonts w:ascii="仿宋_GB2312" w:hAnsi="仿宋_GB2312" w:eastAsia="仿宋_GB2312"/>
          <w:b w:val="0"/>
          <w:sz w:val="32"/>
        </w:rPr>
        <w:t>年初预算数183.02万元，决算数169.94万元，预决算差异率-7.15%，主要原因是：年中调减城市特困人员救助供养支出、“双集中”补助资金，导致预决算存在差异。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2024年度一般公共预算财政拨款支出160.22万元，</w:t>
      </w:r>
      <w:r>
        <w:rPr>
          <w:rFonts w:ascii="仿宋_GB2312" w:hAnsi="仿宋_GB2312" w:eastAsia="仿宋_GB2312"/>
          <w:b w:val="0"/>
          <w:sz w:val="32"/>
        </w:rPr>
        <w:t>占本年支出合计的84.32%。</w:t>
      </w:r>
      <w:r>
        <w:rPr>
          <w:rFonts w:ascii="仿宋_GB2312" w:hAnsi="仿宋_GB2312" w:eastAsia="仿宋_GB2312"/>
          <w:b/>
          <w:sz w:val="32"/>
        </w:rPr>
        <w:t>与上年相比，</w:t>
      </w:r>
      <w:r>
        <w:rPr>
          <w:rFonts w:ascii="仿宋_GB2312" w:hAnsi="仿宋_GB2312" w:eastAsia="仿宋_GB2312"/>
          <w:b w:val="0"/>
          <w:sz w:val="32"/>
        </w:rPr>
        <w:t>减少27.84万元，下降14.80%，主要原因是：本年减少城市特困人员救助供养支出、“双集中”补助资金。</w:t>
      </w:r>
      <w:r>
        <w:rPr>
          <w:rFonts w:ascii="仿宋_GB2312" w:hAnsi="仿宋_GB2312" w:eastAsia="仿宋_GB2312"/>
          <w:b/>
          <w:sz w:val="32"/>
        </w:rPr>
        <w:t>与年初预算相比,</w:t>
      </w:r>
      <w:r>
        <w:rPr>
          <w:rFonts w:ascii="仿宋_GB2312" w:hAnsi="仿宋_GB2312" w:eastAsia="仿宋_GB2312"/>
          <w:b w:val="0"/>
          <w:sz w:val="32"/>
        </w:rPr>
        <w:t>年初预算数182.70万元，决算数160.22万元，预决算差异率-12.30%，主要原因是：年中调减城市特困人员救助供养支出、“双集中”补助资金，导致预决算存在差异。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1.社会保障和就业支出(类)158.57万元,占98.97%。</w:t>
      </w:r>
    </w:p>
    <w:p>
      <w:pPr>
        <w:spacing w:line="580" w:lineRule="exact"/>
        <w:ind w:firstLine="640"/>
        <w:jc w:val="both"/>
      </w:pPr>
      <w:r>
        <w:rPr>
          <w:rFonts w:ascii="仿宋_GB2312" w:hAnsi="仿宋_GB2312" w:eastAsia="仿宋_GB2312"/>
          <w:b w:val="0"/>
          <w:sz w:val="32"/>
        </w:rPr>
        <w:t>2.卫生健康支出(类)0.46万元,占0.29%。</w:t>
      </w:r>
    </w:p>
    <w:p>
      <w:pPr>
        <w:spacing w:line="580" w:lineRule="exact"/>
        <w:ind w:firstLine="640"/>
        <w:jc w:val="both"/>
      </w:pPr>
      <w:r>
        <w:rPr>
          <w:rFonts w:ascii="仿宋_GB2312" w:hAnsi="仿宋_GB2312" w:eastAsia="仿宋_GB2312"/>
          <w:b w:val="0"/>
          <w:sz w:val="32"/>
        </w:rPr>
        <w:t>3.住房保障支出(类)1.19万元,占0.74%。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1.46万元，比上年决算减少1.53万元，下降51.17%,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2.社会保障和就业支出(类)社会福利(款)老年福利(项):支出决算数为40.94万元，比上年决算减少11.59万元，下降22.06%,主要原因是：集中供养老人逐年减少，集中供养老人生活补助</w:t>
      </w:r>
      <w:r>
        <w:rPr>
          <w:rFonts w:hint="eastAsia" w:ascii="仿宋_GB2312" w:hAnsi="仿宋_GB2312" w:eastAsia="仿宋_GB2312"/>
          <w:b w:val="0"/>
          <w:sz w:val="32"/>
          <w:lang w:eastAsia="zh-CN"/>
        </w:rPr>
        <w:t>相应减少</w:t>
      </w:r>
      <w:r>
        <w:rPr>
          <w:rFonts w:ascii="仿宋_GB2312" w:hAnsi="仿宋_GB2312" w:eastAsia="仿宋_GB2312"/>
          <w:b w:val="0"/>
          <w:sz w:val="32"/>
        </w:rPr>
        <w:t>，故此科目经费减少。</w:t>
      </w:r>
    </w:p>
    <w:p>
      <w:pPr>
        <w:spacing w:line="580" w:lineRule="exact"/>
        <w:ind w:firstLine="640"/>
        <w:jc w:val="both"/>
      </w:pPr>
      <w:r>
        <w:rPr>
          <w:rFonts w:ascii="仿宋_GB2312" w:hAnsi="仿宋_GB2312" w:eastAsia="仿宋_GB2312"/>
          <w:b w:val="0"/>
          <w:sz w:val="32"/>
        </w:rPr>
        <w:t>3.社会保障和就业支出(类)特困人员救助供养(款)城市特困人员救助供养支出(项):支出决算数为108.47万元，比上年决算减少20.66万元，下降16.00%,主要原因是：本年减少困难群众救助补助资金。</w:t>
      </w:r>
    </w:p>
    <w:p>
      <w:pPr>
        <w:spacing w:line="580" w:lineRule="exact"/>
        <w:ind w:firstLine="640"/>
        <w:jc w:val="both"/>
      </w:pPr>
      <w:r>
        <w:rPr>
          <w:rFonts w:ascii="仿宋_GB2312" w:hAnsi="仿宋_GB2312" w:eastAsia="仿宋_GB2312"/>
          <w:b w:val="0"/>
          <w:sz w:val="32"/>
        </w:rPr>
        <w:t>4.社会保障和就业支出(类)其他生活救助(款)其他城市生活救助(项):支出决算数为7.70万元，比上年决算增加7.70万元，增长100.00%,主要原因是：本年度增加集中供养老人一次性补助专项资金。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0.46万元，比上年决算减少0.36万元，下降43.90%,主要原因是：本年在职人员调入调出，人员职级不同，缴费基数不同，导致事业单位医疗较上年减少。</w:t>
      </w:r>
    </w:p>
    <w:p>
      <w:pPr>
        <w:spacing w:line="580" w:lineRule="exact"/>
        <w:ind w:firstLine="640"/>
        <w:jc w:val="both"/>
      </w:pPr>
      <w:r>
        <w:rPr>
          <w:rFonts w:ascii="仿宋_GB2312" w:hAnsi="仿宋_GB2312" w:eastAsia="仿宋_GB2312"/>
          <w:b w:val="0"/>
          <w:sz w:val="32"/>
        </w:rPr>
        <w:t>6.住房保障支出(类)住房改革支出(款)住房公积金(项):支出决算数为1.19万元，比上年决算减少1.40万元，下降54.05%,主要原因是：本年在职人员调入调出，人员职级不同，缴费基数不同，导致住房公积金较上年减少。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2024年度一般公共预算财政拨款基本支出28.08万元，其中：</w:t>
      </w:r>
      <w:r>
        <w:rPr>
          <w:rFonts w:ascii="仿宋_GB2312" w:hAnsi="仿宋_GB2312" w:eastAsia="仿宋_GB2312"/>
          <w:b/>
          <w:sz w:val="32"/>
        </w:rPr>
        <w:t>人员经费14.40万元，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公用经费13.68万元，</w:t>
      </w:r>
      <w:r>
        <w:rPr>
          <w:rFonts w:ascii="仿宋_GB2312" w:hAnsi="仿宋_GB2312" w:eastAsia="仿宋_GB2312"/>
          <w:b w:val="0"/>
          <w:sz w:val="32"/>
        </w:rPr>
        <w:t>包括：办公费、取暖费。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2024年度政府性基金预算财政拨款收入总计9.72万元，</w:t>
      </w:r>
      <w:r>
        <w:rPr>
          <w:rFonts w:ascii="仿宋_GB2312" w:hAnsi="仿宋_GB2312" w:eastAsia="仿宋_GB2312"/>
          <w:b w:val="0"/>
          <w:sz w:val="32"/>
        </w:rPr>
        <w:t>其中：年初结转和结余0.00万元，本年收入9.72万元。</w:t>
      </w:r>
      <w:r>
        <w:rPr>
          <w:rFonts w:ascii="仿宋_GB2312" w:hAnsi="仿宋_GB2312" w:eastAsia="仿宋_GB2312"/>
          <w:b/>
          <w:sz w:val="32"/>
        </w:rPr>
        <w:t>政府性基金预算财政拨款支出总计9.72万元，</w:t>
      </w:r>
      <w:r>
        <w:rPr>
          <w:rFonts w:ascii="仿宋_GB2312" w:hAnsi="仿宋_GB2312" w:eastAsia="仿宋_GB2312"/>
          <w:b w:val="0"/>
          <w:sz w:val="32"/>
        </w:rPr>
        <w:t>其中：年末结转和结余0.00万元，本年支出9.72万元。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减少12.54万元，下降56.33%，主要原因是：本年度减少“双集中”护理补助资金。</w:t>
      </w:r>
      <w:r>
        <w:rPr>
          <w:rFonts w:ascii="仿宋_GB2312" w:hAnsi="仿宋_GB2312" w:eastAsia="仿宋_GB2312"/>
          <w:b/>
          <w:sz w:val="32"/>
        </w:rPr>
        <w:t>与年初预算相比，</w:t>
      </w:r>
      <w:r>
        <w:rPr>
          <w:rFonts w:ascii="仿宋_GB2312" w:hAnsi="仿宋_GB2312" w:eastAsia="仿宋_GB2312"/>
          <w:b w:val="0"/>
          <w:sz w:val="32"/>
        </w:rPr>
        <w:t>年初预算数0.32万元，决算数9.72万元，预决算差异率2937.50%，主要原因是：年中追加“双集中”补助资金，导致预决算存在差异。</w:t>
      </w:r>
    </w:p>
    <w:p>
      <w:pPr>
        <w:spacing w:line="580" w:lineRule="exact"/>
        <w:ind w:firstLine="640"/>
        <w:jc w:val="both"/>
      </w:pPr>
      <w:r>
        <w:rPr>
          <w:rFonts w:ascii="仿宋_GB2312" w:hAnsi="仿宋_GB2312" w:eastAsia="仿宋_GB2312"/>
          <w:b w:val="0"/>
          <w:sz w:val="32"/>
        </w:rPr>
        <w:t>政府性基金预算财政拨款支出9.72万元。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1.其他支出(类)彩票公益金安排的支出(款)用于社会福利的彩票公益金支出(项):支出决算数为9.72万元，比上年决算减少12.54万元，下降56.33%,主要原因是：本年度减少“双集中”护理补助资金。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2024年度阿图什市敬老院（事业单位）公用经费支出13.68万元，比上年增加0.05万元，增长0.37%，主要原因是：本年度增加办公费，导致公用经费增加。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2024年度政府采购支出总额74.49万元，其中：政府采购货物支出66.16万元、政府采购工程支出0.00万元、政府采购服务支出8.33万元。</w:t>
      </w:r>
    </w:p>
    <w:p>
      <w:pPr>
        <w:spacing w:line="580" w:lineRule="exact"/>
        <w:ind w:firstLine="640"/>
        <w:jc w:val="both"/>
      </w:pPr>
      <w:r>
        <w:rPr>
          <w:rFonts w:ascii="仿宋_GB2312" w:hAnsi="仿宋_GB2312" w:eastAsia="仿宋_GB2312"/>
          <w:b w:val="0"/>
          <w:sz w:val="32"/>
        </w:rPr>
        <w:t>授予中小企业合同金额74.49万元，占政府采购支出总额的100.00%，其中：授予小微企业合同金额74.49万元，占政府采购支出总额的100.00%。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197.79万元，实际执行总额190.02万元；预算绩效评价项目2个，全年预算数154.53万元，全年执行数124.45万元。预算绩效管理取得的成效：一是加大硬件设施投入，保证了老人老有所乐，心情舒畅。二是竭力服务老人的生活起居，满足老人的愿望，全力做好老人服务工作。发现的问题及原因：一是单位编制预算的能力和水平有限，还待进一步提高；二是在</w:t>
      </w:r>
      <w:r>
        <w:rPr>
          <w:rFonts w:hint="eastAsia" w:ascii="仿宋_GB2312" w:hAnsi="仿宋_GB2312" w:eastAsia="仿宋_GB2312"/>
          <w:b w:val="0"/>
          <w:sz w:val="32"/>
          <w:lang w:eastAsia="zh-CN"/>
        </w:rPr>
        <w:t>编制</w:t>
      </w:r>
      <w:r>
        <w:rPr>
          <w:rFonts w:ascii="仿宋_GB2312" w:hAnsi="仿宋_GB2312" w:eastAsia="仿宋_GB2312"/>
          <w:b w:val="0"/>
          <w:sz w:val="32"/>
        </w:rPr>
        <w:t>预算时，确实存在很多不确定性，比如人员的调进、调出、年中工资的上调，绩效奖励工资的发放、财政年中安排专项经费、单位年中债权、债务的增减等不确定因素较多。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阿图什市敬老院</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182.71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9.61</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热爱敬老院事业，树立以院为家的思想，积极开展种植养殖等多种经营生产劳动，带头发展庭院经济。组织院民参加力所能及的生产劳动，搞好卫生，安全知识宣传工作，经常给院民讲安全，卫生常识，成立卫生，安全生产小组负责院内院外安全卫生，消毒等检查评比工作。 </w:t>
            </w:r>
            <w:r>
              <w:rPr>
                <w:rFonts w:ascii="宋体" w:hAnsi="宋体" w:eastAsia="宋体"/>
                <w:sz w:val="16"/>
              </w:rPr>
              <w:br w:type="textWrapping"/>
            </w:r>
            <w:r>
              <w:rPr>
                <w:rFonts w:ascii="宋体" w:hAnsi="宋体" w:eastAsia="宋体"/>
                <w:sz w:val="16"/>
              </w:rPr>
              <w:t xml:space="preserve">机构设置及人员配置：编制情况：下设4个科室，编制数1人，实有人数1人，在职1人。 </w:t>
            </w:r>
            <w:r>
              <w:rPr>
                <w:rFonts w:ascii="宋体" w:hAnsi="宋体" w:eastAsia="宋体"/>
                <w:sz w:val="16"/>
              </w:rPr>
              <w:br w:type="textWrapping"/>
            </w:r>
            <w:r>
              <w:rPr>
                <w:rFonts w:ascii="宋体" w:hAnsi="宋体" w:eastAsia="宋体"/>
                <w:sz w:val="16"/>
              </w:rPr>
              <w:t xml:space="preserve">中长期规划：继续牢固树立爱心至上的服务理念，用人性化、家庭式的服务温暖老人，提高老人入住率；制定工作人员培训计划，组织工作人员参加专业机构主办的培训班、专题学习班等，提高专业技能和专业化服务水平。 </w:t>
            </w:r>
            <w:r>
              <w:rPr>
                <w:rFonts w:ascii="宋体" w:hAnsi="宋体" w:eastAsia="宋体"/>
                <w:sz w:val="16"/>
              </w:rPr>
              <w:br w:type="textWrapping"/>
            </w:r>
            <w:r>
              <w:rPr>
                <w:rFonts w:ascii="宋体" w:hAnsi="宋体" w:eastAsia="宋体"/>
                <w:sz w:val="16"/>
              </w:rPr>
              <w:t xml:space="preserve">    保障部门在职1人的各项工资福利补助正常发放及部门正常运转；保障单位预算项目按计划实施，保障集中供养老人生活与护理补助正常发放。</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190.02万元，用于保障部门在职1人的工资福利、各项补助正常发放及部门单位正常运转，单位预算项目根据年初计划均已完成，继续牢固树立爱心至上的服务理念，用人性化、家庭式的服务温暖老人，提高老人入住率；制定工作人员培训计划，组织工作人员参加专业机构主办的培训班、专题学习班等，提高专业技能和专业化服务水平，年度任务中完成集中供养老人数量85人，护理员当值情况24小时/天，保障单位日常运转期限12个月等目标。 </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集中供养老人数量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护理员当值情况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=24小时/天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24小时/天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集中供养老人护理补助发放率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安全隐患排查工作覆盖率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2024年中央财政困难群众救助补助资金项目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阿图什市敬老院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阿图什市敬老院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根据《关于提前下达2024年中央财政困难群众救助补助资金预算的通知》克财社</w:t>
            </w:r>
            <w:r>
              <w:rPr>
                <w:rFonts w:hint="eastAsia" w:ascii="宋体" w:hAnsi="宋体"/>
                <w:sz w:val="16"/>
                <w:lang w:eastAsia="zh-CN"/>
              </w:rPr>
              <w:t>〔2023〕85号</w:t>
            </w:r>
            <w:r>
              <w:rPr>
                <w:rFonts w:ascii="宋体" w:hAnsi="宋体" w:eastAsia="宋体"/>
                <w:sz w:val="16"/>
              </w:rPr>
              <w:t>文件，下达资金121.71万元，主要用于保障特困供养老人生活；通过项目的实施统筹城乡特困人员救助供养工作，合理确定保障标准；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本项目共计支出108.468万元，用于保障特困供养老人生活；通过实施本项目统筹城乡特困人员救助供养工作，合理确定保障标准。</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城乡特困人员救助供养标准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不低于上年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原因：根据实际情况进行支出，每月特困人员数量会有变动，结余资金已</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中央困难群众救助补助资金下达及时率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特困供养老人补助标准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原因：根据实际情况进行支出，每月特困人员数量会有变动，结余资金已</w:t>
            </w:r>
            <w:r>
              <w:rPr>
                <w:rFonts w:hint="eastAsia" w:ascii="宋体" w:hAnsi="宋体"/>
                <w:sz w:val="16"/>
                <w:lang w:eastAsia="zh-CN"/>
              </w:rPr>
              <w:t>上缴</w:t>
            </w:r>
            <w:r>
              <w:rPr>
                <w:rFonts w:ascii="宋体" w:hAnsi="宋体" w:eastAsia="宋体"/>
                <w:sz w:val="16"/>
              </w:rPr>
              <w:t>；措施：下一年度做好项目管理，提高工作执行进度，减少偏差。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供养老人生活水平情况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特困供养老人满意度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7"/>
        <w:gridCol w:w="776"/>
        <w:gridCol w:w="632"/>
        <w:gridCol w:w="614"/>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2024年困难群众救助补助资金项目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阿图什市敬老院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阿图什市敬老院</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阿图什市敬老院会议纪要》，安排项目资金32.82万元，主要用于聘用保安4人，日常维修维护期限12个月，水、电、网络费缴纳期限12个月，消防保险期限12个月，天然气、暖气费缴纳期限12个月；通过项目的实施，保障敬老院各项工作顺利开展，做好人民群众服务工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15.9784万元，用于聘用保安4人，日常维修维护期限12个月，水、电、网络费缴纳期限12个月，消防保险期限12个月，天然气、暖气费缴纳期限12个月；通过实施本项目，保障敬老院各项工作顺利开展，做好人民群众服务工作。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聘用保安人数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水、电、网络费缴纳期限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消防保险期限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天然气、暖气费缴纳期限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聘用保安人员成本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水、电、网络费成本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消防保险成本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=0.9784万元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天然气、暖气费用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原因：第三方机构未及时提供支出资料，未能按时支出；措施：及时催收支出资料，加快项目支出进度，减少偏差。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保障单位日常工作正常运转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3E75D6"/>
    <w:rsid w:val="09A729D8"/>
    <w:rsid w:val="0A3C58E8"/>
    <w:rsid w:val="0A7B4867"/>
    <w:rsid w:val="0B4F77BE"/>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AE11FC"/>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4479</Words>
  <Characters>5153</Characters>
  <Lines>0</Lines>
  <Paragraphs>0</Paragraphs>
  <TotalTime>3</TotalTime>
  <ScaleCrop>false</ScaleCrop>
  <LinksUpToDate>false</LinksUpToDate>
  <CharactersWithSpaces>5161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2025-09-12T10:09:24Z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