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2024年中央财政困难群众救助补助资金项目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项目名称：2024年中央财政困难群众救助补助资金项目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项目单位：阿图什市敬老院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主管部门：阿图什市敬老院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2024年中央财政困难群众救助补助资金项目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社会救助制度是政府和社会向有需要的困难群众提供物质和服务帮助的制度体系，是社会保障制度体系中最基础的制度。在中国式现代化进程中，做好保障和改善民生的工作，需要从多方面健全制度化的民生保障行动体系，社会救助在其中承担最后安全网的任务，防止任何人因任何自身不可克服的原因而陷入生活困境，助力困难群众摆脱困难、实现发展。从中国式现代化的宏观行动层面上看，社会救助制度首先通过兜底保障的功能推动“提低扩中”进程，让更多的低收入群众能够进入中等收入群体，为实现全体人民共同富裕作出贡献。其次通过对低收入群众的增能型救助，提高全社会的人力资本，助力高质量发展。低收入群众中蕴藏着发展潜力，通过积极的社会救助帮助他们渡过难关，开发其潜能，将有助于激发共同奋斗创造美好生活的能力、机会和动力。最后通过夯实兜底性民生保障体系，抵御全球化背景下各种风险的冲击。困难群众抵御风险的能力更差，在经济波动中往往会受到更大的冲击，要通过健全社会救助制度为困难群众构筑坚实的兜底保障，提升抗风险和抵御经济波动的能力，为维持社会稳定和提高经济韧性提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财政困难群众救助补助资金预算的通知》克财社【2023】85号文件，下达资金121.71万元，主要用于保障特困供养老人生活；通过项目的实施统筹城乡特困人员救助供养工作，合理确定保障标准</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实施主体：本项目的主管部门为阿图什市敬老院,实施单位为阿图什市敬老院，主要职责：项目实施过程中严格按照实施方案进行实施并及时进行监督管理，项目实施后进行及时验收及后期管理。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121.71</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资金使用情况：根据项目实施情况，项目资金实际支付108.468万元，资金执行率达到</w:t>
      </w:r>
      <w:r>
        <w:rPr>
          <w:rStyle w:val="11"/>
          <w:rFonts w:hint="eastAsia" w:ascii="仿宋_GB2312" w:hAnsi="仿宋_GB2312" w:cs="仿宋_GB2312"/>
          <w:b w:val="0"/>
          <w:color w:val="auto"/>
          <w:spacing w:val="-4"/>
          <w:sz w:val="32"/>
          <w:szCs w:val="30"/>
          <w:highlight w:val="none"/>
          <w:lang w:val="en-US" w:eastAsia="zh-CN"/>
        </w:rPr>
        <w:t>89.1</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特困供养老人补助</w:t>
      </w:r>
      <w:r>
        <w:rPr>
          <w:rStyle w:val="11"/>
          <w:rFonts w:hint="eastAsia" w:ascii="仿宋_GB2312"/>
          <w:b w:val="0"/>
          <w:color w:val="auto"/>
          <w:spacing w:val="-4"/>
          <w:sz w:val="32"/>
          <w:highlight w:val="none"/>
          <w:lang w:val="en-US" w:eastAsia="zh-CN"/>
        </w:rPr>
        <w:t>成本：108.468万元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财政困难群众救助补助资金预算的通知》克财社【2023】85号文件，下达资金121.71万元，主要用于保障特困供养老人生活；通过项目的实施统筹城乡特困人员救助供养工作，合理确定保障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2024年中央财政困难群众救助补助资金项目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2024年中央财政困难群众救助补助资金项目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2024年中央财政困难群众救助补助资金项目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2024年中央财政困难群众救助补助资金项目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6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3"/>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953"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53"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买买提依明·卡斯木</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53"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肉孜买买提</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53"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古丽努尔</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财政困难群众救助补助资金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组织管理、产出与效益效果。在此基础上，以相关的项目数据为基础，综合运用不同的评价方法，结合评价标准和评分规则，2024年中央财政困难群众救助补助资金项目综合得分为98.31分，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2024年中央财政困难群众救助补助资金项目评价得分情况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16.45</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预算执行率扣0.55分</w:t>
            </w:r>
          </w:p>
        </w:tc>
      </w:tr>
      <w:tr>
        <w:tblPrEx>
          <w:tblLayout w:type="fixed"/>
          <w:tblCellMar>
            <w:top w:w="0" w:type="dxa"/>
            <w:left w:w="10" w:type="dxa"/>
            <w:bottom w:w="0" w:type="dxa"/>
            <w:right w:w="10" w:type="dxa"/>
          </w:tblCellMar>
        </w:tblPrEx>
        <w:trPr>
          <w:trHeight w:val="1228"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28.86</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质量指标扣0.38分</w:t>
            </w:r>
          </w:p>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成本指标扣0.76分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98.31</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年已完成保障特困供养老人生活等工作；通过该项目的实施统筹城乡特困人员救助供养工作，合理确定保障标准。</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支出共计108.468万元，评价得分值</w:t>
      </w:r>
      <w:r>
        <w:rPr>
          <w:rFonts w:hint="eastAsia" w:ascii="仿宋_GB2312" w:hAnsi="仿宋_GB2312" w:cs="仿宋_GB2312"/>
          <w:color w:val="auto"/>
          <w:sz w:val="32"/>
          <w:szCs w:val="32"/>
          <w:highlight w:val="none"/>
          <w:lang w:val="en-US" w:eastAsia="zh-CN"/>
        </w:rPr>
        <w:t>98.31</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中央财政困难群众救助补助资金项目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2024年中央财政困难群众救助补助资金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2024年中央财政困难群众救助补助资金项目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数量指标为特困供养保障率，预期指标值是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95%，实际完成值是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95%，指标达到预期目标。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质量指标为城乡特困人员救助供养标准，预期指标值是不低于上年，实际完成值是不低于上年，指标达到预期目标。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89.1%，指标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达到预期目标。原因：根据实际情况进行支出，每月特困人员数量会有变动，结余资金已上交；措施：下一年度做好项目管理，提高工作执行进度，减少偏差。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时效指标为中央困难群众救助补助资金下达及时率，预期指标值是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30日内，实际完成值是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30日内，指标达到预期目标。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成本指标为特困供养老人补助标准，预期指标值是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1035元，实际完成值是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1035元，指标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达到预期目标。原因：根据实际情况进行支出，每月特困人员数量会有变动，结余资金已上交；措施：下一年度做好项目管理，提高工作执行进度，减少偏差。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为供养老人生活水平情况，预期指标值是有所提升，实际完成值是有所提升，指标达到预期目标。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满意度指标为特困供养老人满意度，预期指标值是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121.71</w:t>
      </w:r>
      <w:r>
        <w:rPr>
          <w:rFonts w:hint="eastAsia"/>
          <w:color w:val="auto"/>
          <w:sz w:val="32"/>
          <w:highlight w:val="none"/>
        </w:rPr>
        <w:t>万元，执行数108.468万元，执行率</w:t>
      </w:r>
      <w:r>
        <w:rPr>
          <w:rFonts w:hint="eastAsia"/>
          <w:color w:val="auto"/>
          <w:sz w:val="32"/>
          <w:highlight w:val="none"/>
          <w:lang w:val="en-US" w:eastAsia="zh-CN"/>
        </w:rPr>
        <w:t>89.1</w:t>
      </w:r>
      <w:r>
        <w:rPr>
          <w:rFonts w:hint="eastAsia"/>
          <w:color w:val="auto"/>
          <w:sz w:val="32"/>
          <w:highlight w:val="none"/>
        </w:rPr>
        <w:t>%，绩效指标完成率</w:t>
      </w:r>
      <w:r>
        <w:rPr>
          <w:rFonts w:hint="eastAsia"/>
          <w:color w:val="auto"/>
          <w:sz w:val="32"/>
          <w:highlight w:val="none"/>
          <w:lang w:val="en-US" w:eastAsia="zh-CN"/>
        </w:rPr>
        <w:t>96.9</w:t>
      </w:r>
      <w:r>
        <w:rPr>
          <w:rFonts w:hint="eastAsia"/>
          <w:color w:val="auto"/>
          <w:sz w:val="32"/>
          <w:highlight w:val="none"/>
        </w:rPr>
        <w:t>%，偏差率</w:t>
      </w:r>
      <w:r>
        <w:rPr>
          <w:rFonts w:hint="eastAsia"/>
          <w:color w:val="auto"/>
          <w:sz w:val="32"/>
          <w:highlight w:val="none"/>
          <w:lang w:val="en-US" w:eastAsia="zh-CN"/>
        </w:rPr>
        <w:t>7.8</w:t>
      </w:r>
      <w:r>
        <w:rPr>
          <w:rFonts w:hint="eastAsia"/>
          <w:color w:val="auto"/>
          <w:sz w:val="32"/>
          <w:highlight w:val="none"/>
        </w:rPr>
        <w:t>%。偏差原因：根据实际情况进行支出，每月特困人员数量会有变动，结余资金已上交。</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6.62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98.31</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26F4"/>
    <w:multiLevelType w:val="multilevel"/>
    <w:tmpl w:val="68D226F4"/>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26FF"/>
    <w:multiLevelType w:val="singleLevel"/>
    <w:tmpl w:val="68D226FF"/>
    <w:lvl w:ilvl="0" w:tentative="0">
      <w:start w:val="3"/>
      <w:numFmt w:val="decimal"/>
      <w:suff w:val="nothing"/>
      <w:lvlText w:val="%1．"/>
      <w:lvlJc w:val="left"/>
      <w:rPr>
        <w:rFonts w:hint="default"/>
        <w:b/>
        <w:bCs/>
        <w:color w:val="auto"/>
      </w:rPr>
    </w:lvl>
  </w:abstractNum>
  <w:abstractNum w:abstractNumId="2">
    <w:nsid w:val="68D2270A"/>
    <w:multiLevelType w:val="singleLevel"/>
    <w:tmpl w:val="68D2270A"/>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4B91744"/>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DF98756AE249417A92454857BBDAF6F6_13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47dcd-ce05-4b07-b66f-fcb528c98f04}">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2025-09-23T04:49:19Z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DF98756AE249417A92454857BBDAF6F6_13</vt:lpwstr>
  </property>
  <property fmtid="{D5CDD505-2E9C-101B-9397-08002B2CF9AE}" pid="4" name="KSOTemplateDocerSaveRecord">
    <vt:lpwstr>eyJoZGlkIjoiYzZkNzQ4ZWFiZmQ4NTRhOWRkZTk3YTMwMjlmMmZhYmUiLCJ1c2VySWQiOiI1NzgxMjU4NDIifQ_x003D__x003D_</vt:lpwstr>
  </property>
</Properties>
</file>