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基本业务经费项目支出绩效评价报告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w:t>
      </w:r>
      <w:r>
        <w:rPr>
          <w:rFonts w:hint="eastAsia" w:ascii="方正小标宋_GBK" w:hAnsi="黑体" w:eastAsia="方正小标宋_GBK" w:cs="仿宋_GB2312"/>
          <w:bCs/>
          <w:color w:val="auto"/>
          <w:sz w:val="44"/>
          <w:szCs w:val="44"/>
          <w:highlight w:val="none"/>
          <w:lang w:eastAsia="zh-CN"/>
        </w:rPr>
        <w:t>202</w:t>
      </w:r>
      <w:r>
        <w:rPr>
          <w:rFonts w:hint="eastAsia" w:ascii="方正小标宋_GBK" w:hAnsi="黑体" w:eastAsia="方正小标宋_GBK" w:cs="仿宋_GB2312"/>
          <w:bCs/>
          <w:color w:val="auto"/>
          <w:sz w:val="44"/>
          <w:szCs w:val="44"/>
          <w:highlight w:val="none"/>
          <w:lang w:val="en-US" w:eastAsia="zh-CN"/>
        </w:rPr>
        <w:t>4</w:t>
      </w:r>
      <w:r>
        <w:rPr>
          <w:rFonts w:hint="eastAsia" w:ascii="方正小标宋_GBK" w:hAnsi="黑体" w:eastAsia="方正小标宋_GBK" w:cs="仿宋_GB2312"/>
          <w:bCs/>
          <w:color w:val="auto"/>
          <w:sz w:val="44"/>
          <w:szCs w:val="44"/>
          <w:highlight w:val="none"/>
        </w:rPr>
        <w:t>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项目名称：基本业务经费</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项目单位：阿图什市消防救援大队</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主管部门：阿图什市消防救援大队</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lang w:eastAsia="zh-CN"/>
        </w:rPr>
        <w:t>202</w:t>
      </w:r>
      <w:r>
        <w:rPr>
          <w:rFonts w:hint="eastAsia" w:ascii="黑体" w:hAnsi="黑体" w:eastAsia="黑体" w:cs="仿宋_GB2312"/>
          <w:color w:val="auto"/>
          <w:sz w:val="32"/>
          <w:szCs w:val="32"/>
          <w:highlight w:val="none"/>
          <w:lang w:val="en-US" w:eastAsia="zh-CN"/>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20</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基本业务经费项目支出绩效评价报告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自治区《关于推进消防救援事业高质量发展的意见》文件精神，结合公共消防设施建设、消防救援队伍建设、优化消防车辆装备结构、推进“智慧消防”建设应用、按照年度工作计划，</w:t>
      </w:r>
      <w:r>
        <w:rPr>
          <w:rFonts w:hint="eastAsia" w:ascii="仿宋_GB2312" w:hAnsi="仿宋_GB2312" w:cs="仿宋_GB2312"/>
          <w:color w:val="auto"/>
          <w:sz w:val="32"/>
          <w:szCs w:val="32"/>
          <w:highlight w:val="none"/>
          <w:lang w:val="en-US" w:eastAsia="zh-CN"/>
        </w:rPr>
        <w:t>2024年组织开展基本</w:t>
      </w:r>
      <w:r>
        <w:rPr>
          <w:rFonts w:hint="eastAsia" w:ascii="仿宋_GB2312" w:hAnsi="仿宋_GB2312" w:cs="仿宋_GB2312"/>
          <w:color w:val="auto"/>
          <w:sz w:val="32"/>
          <w:szCs w:val="32"/>
          <w:highlight w:val="none"/>
        </w:rPr>
        <w:t>业务经费项目。</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根据《研究阿图什市消防救援大队2024年业务经费预算事宜》，安排项目资金393.22万元，主要用于基本业务经费，以及保障日常业务工作有序开展，</w:t>
      </w:r>
      <w:r>
        <w:rPr>
          <w:rFonts w:hint="eastAsia" w:ascii="仿宋_GB2312" w:hAnsi="仿宋_GB2312" w:cs="仿宋_GB2312"/>
          <w:color w:val="auto"/>
          <w:sz w:val="32"/>
          <w:szCs w:val="30"/>
          <w:highlight w:val="none"/>
          <w:lang w:val="en-US" w:eastAsia="zh-CN"/>
        </w:rPr>
        <w:t>完善消防业务经费保障机制，提高应急救援保障水平，改善公共消防基础设施，</w:t>
      </w:r>
      <w:r>
        <w:rPr>
          <w:rFonts w:hint="eastAsia" w:ascii="仿宋_GB2312" w:hAnsi="仿宋_GB2312" w:cs="仿宋_GB2312"/>
          <w:color w:val="auto"/>
          <w:sz w:val="32"/>
          <w:szCs w:val="30"/>
          <w:highlight w:val="none"/>
        </w:rPr>
        <w:t>有效</w:t>
      </w:r>
      <w:r>
        <w:rPr>
          <w:rFonts w:hint="eastAsia" w:ascii="仿宋_GB2312" w:hAnsi="仿宋_GB2312" w:cs="仿宋_GB2312"/>
          <w:color w:val="auto"/>
          <w:sz w:val="32"/>
          <w:szCs w:val="30"/>
          <w:highlight w:val="none"/>
          <w:lang w:val="en-US" w:eastAsia="zh-CN"/>
        </w:rPr>
        <w:t>保护辖区</w:t>
      </w:r>
      <w:r>
        <w:rPr>
          <w:rFonts w:hint="eastAsia" w:ascii="仿宋_GB2312" w:hAnsi="仿宋_GB2312" w:cs="仿宋_GB2312"/>
          <w:color w:val="auto"/>
          <w:sz w:val="32"/>
          <w:szCs w:val="30"/>
          <w:highlight w:val="none"/>
        </w:rPr>
        <w:t>群众生命财产安全。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实施主体：本项目的主管部门为阿图什市消防救援大队,实施单位为阿图什市消防救援大队，主要职责</w:t>
      </w:r>
      <w:r>
        <w:rPr>
          <w:rFonts w:hint="eastAsia" w:ascii="仿宋_GB2312" w:hAnsi="仿宋_GB2312" w:cs="仿宋_GB2312"/>
          <w:bCs/>
          <w:color w:val="auto"/>
          <w:sz w:val="32"/>
          <w:szCs w:val="30"/>
          <w:highlight w:val="none"/>
          <w:lang w:eastAsia="zh-CN"/>
        </w:rPr>
        <w:t>：</w:t>
      </w:r>
      <w:r>
        <w:rPr>
          <w:rFonts w:hint="eastAsia" w:ascii="仿宋_GB2312" w:hAnsi="仿宋_GB2312" w:cs="仿宋_GB2312"/>
          <w:bCs/>
          <w:color w:val="auto"/>
          <w:sz w:val="32"/>
          <w:szCs w:val="30"/>
          <w:highlight w:val="none"/>
        </w:rPr>
        <w:t>组织开展消防安全教育和消防安全检查，督促整改火灾隐患；承担责任区消防安全宣传教育培训，普及消防知识。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w:t>
      </w:r>
      <w:r>
        <w:rPr>
          <w:rFonts w:hint="eastAsia" w:ascii="仿宋_GB2312" w:hAnsi="仿宋_GB2312" w:cs="仿宋_GB2312"/>
          <w:bCs/>
          <w:color w:val="auto"/>
          <w:sz w:val="32"/>
          <w:szCs w:val="30"/>
          <w:highlight w:val="none"/>
          <w:lang w:eastAsia="zh-CN"/>
        </w:rPr>
        <w:t>202</w:t>
      </w:r>
      <w:r>
        <w:rPr>
          <w:rFonts w:hint="eastAsia" w:ascii="仿宋_GB2312" w:hAnsi="仿宋_GB2312" w:cs="仿宋_GB2312"/>
          <w:bCs/>
          <w:color w:val="auto"/>
          <w:sz w:val="32"/>
          <w:szCs w:val="30"/>
          <w:highlight w:val="none"/>
          <w:lang w:val="en-US" w:eastAsia="zh-CN"/>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本项目的实施符合《新疆维吾尔自治区武警消防业务经费管理办法》的通知、《研究阿图什市消防救援大队2024年业务经费预算事宜》</w:t>
      </w:r>
      <w:r>
        <w:rPr>
          <w:rFonts w:hint="eastAsia" w:ascii="仿宋_GB2312" w:hAnsi="仿宋_GB2312" w:cs="仿宋_GB2312"/>
          <w:bCs/>
          <w:color w:val="auto"/>
          <w:sz w:val="32"/>
          <w:szCs w:val="30"/>
          <w:highlight w:val="none"/>
          <w:lang w:eastAsia="zh-CN"/>
        </w:rPr>
        <w:t>、《关于推进消防救援事业高质量发展的意见》</w:t>
      </w:r>
      <w:r>
        <w:rPr>
          <w:rFonts w:hint="eastAsia" w:ascii="仿宋_GB2312" w:hAnsi="仿宋_GB2312" w:cs="仿宋_GB2312"/>
          <w:bCs/>
          <w:color w:val="auto"/>
          <w:sz w:val="32"/>
          <w:szCs w:val="30"/>
          <w:highlight w:val="none"/>
          <w:lang w:val="en-US" w:eastAsia="zh-CN"/>
        </w:rPr>
        <w:t>等文件</w:t>
      </w:r>
      <w:r>
        <w:rPr>
          <w:rFonts w:hint="eastAsia" w:ascii="仿宋_GB2312" w:hAnsi="仿宋_GB2312" w:cs="仿宋_GB2312"/>
          <w:bCs/>
          <w:color w:val="auto"/>
          <w:sz w:val="32"/>
          <w:szCs w:val="30"/>
          <w:highlight w:val="none"/>
        </w:rPr>
        <w:t>相关政策要求，实际保障</w:t>
      </w:r>
      <w:r>
        <w:rPr>
          <w:rFonts w:hint="eastAsia" w:ascii="仿宋_GB2312" w:hAnsi="仿宋_GB2312" w:cs="仿宋_GB2312"/>
          <w:bCs/>
          <w:color w:val="auto"/>
          <w:sz w:val="32"/>
          <w:szCs w:val="30"/>
          <w:highlight w:val="none"/>
          <w:lang w:val="en-US" w:eastAsia="zh-CN"/>
        </w:rPr>
        <w:t>消防</w:t>
      </w:r>
      <w:r>
        <w:rPr>
          <w:rFonts w:hint="eastAsia" w:ascii="仿宋_GB2312" w:hAnsi="仿宋_GB2312" w:cs="仿宋_GB2312"/>
          <w:bCs/>
          <w:color w:val="auto"/>
          <w:sz w:val="32"/>
          <w:szCs w:val="30"/>
          <w:highlight w:val="none"/>
        </w:rPr>
        <w:t>大队运转期限12个月</w:t>
      </w:r>
      <w:r>
        <w:rPr>
          <w:rFonts w:hint="eastAsia" w:ascii="仿宋_GB2312" w:hAnsi="仿宋_GB2312" w:cs="仿宋_GB2312"/>
          <w:bCs/>
          <w:color w:val="auto"/>
          <w:sz w:val="32"/>
          <w:szCs w:val="30"/>
          <w:highlight w:val="none"/>
          <w:lang w:eastAsia="zh-CN"/>
        </w:rPr>
        <w:t>，</w:t>
      </w:r>
      <w:r>
        <w:rPr>
          <w:rFonts w:hint="eastAsia" w:ascii="仿宋_GB2312" w:hAnsi="仿宋_GB2312" w:cs="仿宋_GB2312"/>
          <w:bCs/>
          <w:color w:val="auto"/>
          <w:sz w:val="32"/>
          <w:szCs w:val="30"/>
          <w:highlight w:val="none"/>
        </w:rPr>
        <w:t>通过实施本项目</w:t>
      </w:r>
      <w:r>
        <w:rPr>
          <w:rFonts w:hint="eastAsia" w:ascii="仿宋_GB2312" w:hAnsi="仿宋_GB2312" w:cs="仿宋_GB2312"/>
          <w:bCs/>
          <w:color w:val="auto"/>
          <w:sz w:val="32"/>
          <w:szCs w:val="30"/>
          <w:highlight w:val="none"/>
          <w:lang w:eastAsia="zh-CN"/>
        </w:rPr>
        <w:t>，</w:t>
      </w:r>
      <w:r>
        <w:rPr>
          <w:rFonts w:hint="eastAsia" w:ascii="仿宋_GB2312" w:hAnsi="仿宋_GB2312" w:cs="仿宋_GB2312"/>
          <w:bCs/>
          <w:color w:val="auto"/>
          <w:sz w:val="32"/>
          <w:szCs w:val="30"/>
          <w:highlight w:val="none"/>
          <w:lang w:val="en-US" w:eastAsia="zh-CN"/>
        </w:rPr>
        <w:t>完善消防业务经费保障机制，提高应急救援保障水平，改善公共消防基础设施，有效保护辖区群众生命财产安全。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资金投入情况：本项目总投资393.22万元，资金来源为本级部门预算</w:t>
      </w:r>
      <w:r>
        <w:rPr>
          <w:rStyle w:val="11"/>
          <w:rFonts w:hint="eastAsia" w:ascii="仿宋_GB2312" w:hAnsi="仿宋_GB2312" w:cs="仿宋_GB2312"/>
          <w:b w:val="0"/>
          <w:bCs w:val="0"/>
          <w:color w:val="auto"/>
          <w:spacing w:val="-4"/>
          <w:sz w:val="32"/>
          <w:szCs w:val="30"/>
          <w:highlight w:val="none"/>
          <w:lang w:val="en-US" w:eastAsia="zh-CN"/>
        </w:rPr>
        <w:t>资金</w:t>
      </w:r>
      <w:r>
        <w:rPr>
          <w:rStyle w:val="11"/>
          <w:rFonts w:hint="eastAsia" w:ascii="仿宋_GB2312" w:hAnsi="仿宋_GB2312" w:cs="仿宋_GB2312"/>
          <w:b w:val="0"/>
          <w:bCs w:val="0"/>
          <w:color w:val="auto"/>
          <w:spacing w:val="-4"/>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资金使用情况：根据项目实施情况，项目资金实际支付93.58万元，资金执行率达到</w:t>
      </w:r>
      <w:r>
        <w:rPr>
          <w:rStyle w:val="11"/>
          <w:rFonts w:hint="eastAsia" w:ascii="仿宋_GB2312" w:hAnsi="仿宋_GB2312" w:cs="仿宋_GB2312"/>
          <w:b w:val="0"/>
          <w:color w:val="auto"/>
          <w:spacing w:val="-4"/>
          <w:sz w:val="32"/>
          <w:szCs w:val="30"/>
          <w:highlight w:val="none"/>
          <w:lang w:val="en-US" w:eastAsia="zh-CN"/>
        </w:rPr>
        <w:t>23.8</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default" w:ascii="仿宋_GB2312" w:eastAsia="仿宋_GB2312"/>
          <w:b w:val="0"/>
          <w:color w:val="auto"/>
          <w:spacing w:val="-4"/>
          <w:sz w:val="32"/>
          <w:highlight w:val="none"/>
          <w:lang w:val="en-US" w:eastAsia="zh-CN"/>
        </w:rPr>
      </w:pPr>
      <w:r>
        <w:rPr>
          <w:rStyle w:val="11"/>
          <w:rFonts w:hint="eastAsia" w:ascii="仿宋_GB2312"/>
          <w:b w:val="0"/>
          <w:color w:val="auto"/>
          <w:spacing w:val="-4"/>
          <w:sz w:val="32"/>
          <w:highlight w:val="none"/>
          <w:lang w:val="en-US" w:eastAsia="zh-CN"/>
        </w:rPr>
        <w:t>消防业务运转经费</w:t>
      </w:r>
      <w:r>
        <w:rPr>
          <w:rStyle w:val="11"/>
          <w:rFonts w:hint="eastAsia" w:ascii="仿宋_GB2312" w:hAnsi="仿宋_GB2312" w:cs="仿宋_GB2312"/>
          <w:b w:val="0"/>
          <w:color w:val="auto"/>
          <w:spacing w:val="-4"/>
          <w:sz w:val="32"/>
          <w:szCs w:val="30"/>
          <w:highlight w:val="none"/>
        </w:rPr>
        <w:t>93.58万元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年度总体目标为：根据《研究阿图什市消防救援大队2024年业务经费预算事宜》，安排项目资金393.22万元，主要用于基本业务经费，以及保障日常业务工作有序开展，完善消防业务经费保障机制，提高应急救援保障水平，改善公共消防基础设施，有效保护辖区群众生命财产安全。</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（一）绩效评价目的、对象和范围</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3" w:firstLineChars="200"/>
        <w:contextualSpacing/>
        <w:jc w:val="both"/>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本次绩效评价遵循财政部《项目支出绩效评价管理办法》（财预〔</w:t>
      </w: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〕10号）和自治区财政厅</w:t>
      </w:r>
      <w:r>
        <w:rPr>
          <w:rFonts w:hint="eastAsia" w:ascii="仿宋_GB2312" w:hAnsi="仿宋_GB2312" w:eastAsia="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eastAsia="仿宋_GB2312" w:cs="仿宋_GB2312"/>
          <w:color w:val="auto"/>
          <w:sz w:val="32"/>
          <w:szCs w:val="32"/>
          <w:highlight w:val="none"/>
        </w:rPr>
        <w:t>等相关政策文件</w:t>
      </w:r>
      <w:r>
        <w:rPr>
          <w:rFonts w:hint="eastAsia" w:ascii="仿宋_GB2312" w:hAnsi="仿宋_GB2312" w:cs="仿宋_GB2312"/>
          <w:color w:val="auto"/>
          <w:sz w:val="32"/>
          <w:szCs w:val="32"/>
          <w:highlight w:val="none"/>
          <w:lang w:eastAsia="zh-CN"/>
        </w:rPr>
        <w:t>和</w:t>
      </w:r>
      <w:r>
        <w:rPr>
          <w:rFonts w:hint="eastAsia" w:ascii="仿宋_GB2312" w:hAnsi="仿宋_GB2312" w:eastAsia="仿宋_GB2312" w:cs="仿宋_GB2312"/>
          <w:color w:val="auto"/>
          <w:sz w:val="32"/>
          <w:szCs w:val="32"/>
          <w:highlight w:val="none"/>
        </w:rPr>
        <w:t>规定，</w:t>
      </w:r>
      <w:r>
        <w:rPr>
          <w:rFonts w:hint="eastAsia" w:ascii="仿宋_GB2312" w:hAnsi="仿宋_GB2312" w:eastAsia="仿宋_GB2312" w:cs="仿宋_GB2312"/>
          <w:color w:val="auto"/>
          <w:sz w:val="32"/>
          <w:szCs w:val="32"/>
          <w:highlight w:val="none"/>
          <w:lang w:val="en-US" w:eastAsia="zh-CN"/>
        </w:rPr>
        <w:t>绩效评价</w:t>
      </w:r>
      <w:r>
        <w:rPr>
          <w:rFonts w:hint="eastAsia" w:ascii="仿宋_GB2312" w:hAnsi="仿宋_GB2312" w:eastAsia="仿宋_GB2312" w:cs="仿宋_GB2312"/>
          <w:color w:val="auto"/>
          <w:sz w:val="32"/>
          <w:szCs w:val="32"/>
          <w:highlight w:val="none"/>
        </w:rPr>
        <w:t>旨在评价</w:t>
      </w:r>
      <w:r>
        <w:rPr>
          <w:rFonts w:hint="eastAsia" w:ascii="仿宋_GB2312" w:hAnsi="仿宋_GB2312" w:eastAsia="仿宋_GB2312" w:cs="仿宋_GB2312"/>
          <w:color w:val="auto"/>
          <w:sz w:val="32"/>
          <w:szCs w:val="32"/>
          <w:highlight w:val="none"/>
          <w:lang w:eastAsia="zh-CN"/>
        </w:rPr>
        <w:t>本</w:t>
      </w:r>
      <w:r>
        <w:rPr>
          <w:rFonts w:hint="eastAsia" w:ascii="仿宋_GB2312" w:hAnsi="仿宋_GB2312" w:eastAsia="仿宋_GB2312" w:cs="仿宋_GB2312"/>
          <w:color w:val="auto"/>
          <w:sz w:val="32"/>
          <w:szCs w:val="32"/>
          <w:highlight w:val="none"/>
        </w:rPr>
        <w:t>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一是：通过部门项目支出绩效评价，进一步严格落实《中华人民共和国预算法》以及党中央、国务院关于加强预算绩效管理的重要指示精神，建立健全“花钱必问效、无效必问责”的绩效预算管理机制</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提升财政资金的使用效能。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w:t>
      </w: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年基本业务经费</w:t>
      </w:r>
      <w:r>
        <w:rPr>
          <w:rFonts w:hint="eastAsia" w:ascii="仿宋_GB2312" w:hAnsi="仿宋_GB2312" w:cs="仿宋_GB2312"/>
          <w:color w:val="auto"/>
          <w:sz w:val="32"/>
          <w:szCs w:val="32"/>
          <w:highlight w:val="none"/>
          <w:lang w:val="en-US" w:eastAsia="zh-CN"/>
        </w:rPr>
        <w:t>项目</w:t>
      </w:r>
      <w:r>
        <w:rPr>
          <w:rFonts w:hint="eastAsia" w:ascii="仿宋_GB2312" w:hAnsi="仿宋_GB2312" w:cs="仿宋_GB2312"/>
          <w:color w:val="auto"/>
          <w:sz w:val="32"/>
          <w:szCs w:val="32"/>
          <w:highlight w:val="none"/>
        </w:rPr>
        <w:t>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val="0"/>
          <w:color w:val="auto"/>
          <w:sz w:val="32"/>
          <w:highlight w:val="none"/>
        </w:rPr>
      </w:pPr>
      <w:r>
        <w:rPr>
          <w:rFonts w:hint="eastAsia" w:ascii="楷体" w:hAnsi="楷体" w:eastAsia="楷体" w:cs="仿宋_GB2312"/>
          <w:b/>
          <w:bCs w:val="0"/>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w:t>
      </w:r>
      <w:r>
        <w:rPr>
          <w:rFonts w:hint="eastAsia" w:ascii="仿宋_GB2312" w:hAnsi="仿宋_GB2312" w:cs="仿宋_GB2312"/>
          <w:color w:val="auto"/>
          <w:sz w:val="32"/>
          <w:highlight w:val="none"/>
          <w:lang w:eastAsia="zh-CN"/>
        </w:rPr>
        <w:t>应用、</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lang w:val="en-US" w:eastAsia="zh-CN"/>
        </w:rPr>
      </w:pPr>
      <w:r>
        <w:rPr>
          <w:rFonts w:hint="eastAsia" w:ascii="仿宋_GB2312" w:hAnsi="仿宋_GB2312" w:cs="仿宋_GB2312"/>
          <w:b/>
          <w:bCs/>
          <w:color w:val="auto"/>
          <w:sz w:val="32"/>
          <w:highlight w:val="none"/>
          <w:lang w:eastAsia="zh-CN"/>
        </w:rPr>
        <w:t>2</w:t>
      </w:r>
      <w:r>
        <w:rPr>
          <w:rFonts w:hint="eastAsia" w:ascii="仿宋_GB2312" w:hAnsi="仿宋_GB2312" w:cs="仿宋_GB2312"/>
          <w:b/>
          <w:bCs/>
          <w:color w:val="auto"/>
          <w:sz w:val="32"/>
          <w:highlight w:val="none"/>
        </w:rPr>
        <w:t>．</w:t>
      </w:r>
      <w:r>
        <w:rPr>
          <w:rFonts w:hint="eastAsia" w:ascii="仿宋_GB2312" w:hAnsi="仿宋_GB2312" w:cs="仿宋_GB2312"/>
          <w:b/>
          <w:bCs/>
          <w:color w:val="auto"/>
          <w:sz w:val="32"/>
          <w:highlight w:val="none"/>
          <w:lang w:val="en-US" w:eastAsia="zh-CN"/>
        </w:rPr>
        <w:t>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eastAsia="zh-CN"/>
        </w:rPr>
      </w:pPr>
      <w:r>
        <w:rPr>
          <w:rFonts w:hint="eastAsia" w:ascii="仿宋_GB2312" w:hAnsi="仿宋_GB2312" w:cs="仿宋_GB2312"/>
          <w:color w:val="auto"/>
          <w:sz w:val="32"/>
          <w:highlight w:val="none"/>
          <w:lang w:val="en-US" w:eastAsia="zh-CN"/>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在对2024年基本业务经费项目的深入调研基础上，按照《项目支出绩效评价管理办法》（财预〔2021〕10号）对于指标体系的要求和规范，建立一套适合评价基本业务经费项目的指标体系，从项目决策、项目过程、项目产出和项目绩效四个维度全面考察基本业务经费项目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eastAsia="仿宋_GB2312"/>
          <w:color w:val="auto"/>
          <w:sz w:val="32"/>
          <w:szCs w:val="32"/>
          <w:highlight w:val="none"/>
        </w:rPr>
      </w:pPr>
      <w:r>
        <w:rPr>
          <w:rFonts w:hint="eastAsia" w:ascii="仿宋_GB2312" w:hAnsi="仿宋_GB2312" w:cs="仿宋_GB2312"/>
          <w:b/>
          <w:bCs/>
          <w:color w:val="auto"/>
          <w:sz w:val="32"/>
          <w:highlight w:val="none"/>
          <w:lang w:val="en-US" w:eastAsia="zh-CN"/>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②定性指标分析环节：主要采用公众评判法，通过问卷及抽样调查等方式评价本项目实施后社会公众对于其实施效果的满意程度，将调研结果按照《项目支出绩效评价管理办法》（财预〔2020〕10号）与《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预算编制科学性</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成本效益分析法</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资金使用合规性：文献法、实地勘察法，一是查找资金管理办法，包括专项资金管理办法和单位自有资金管理办法；二是通过查账了解具体开支情况，是否专用专用，是否按照标准支出。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left="0" w:leftChars="0" w:firstLine="643" w:firstLineChars="200"/>
        <w:contextualSpacing/>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绩效评价标准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基本业务经费项目属于</w:t>
      </w:r>
      <w:r>
        <w:rPr>
          <w:rFonts w:hint="eastAsia" w:ascii="仿宋_GB2312" w:hAnsi="仿宋_GB2312" w:cs="仿宋_GB2312"/>
          <w:color w:val="auto"/>
          <w:sz w:val="32"/>
          <w:szCs w:val="24"/>
          <w:highlight w:val="none"/>
          <w:lang w:val="en-US" w:eastAsia="zh-CN" w:bidi="ar-SA"/>
        </w:rPr>
        <w:t>业务类</w:t>
      </w:r>
      <w:r>
        <w:rPr>
          <w:rFonts w:hint="eastAsia" w:ascii="仿宋_GB2312" w:hAnsi="仿宋_GB2312" w:eastAsia="仿宋_GB2312" w:cs="仿宋_GB2312"/>
          <w:color w:val="auto"/>
          <w:sz w:val="32"/>
          <w:szCs w:val="24"/>
          <w:highlight w:val="none"/>
          <w:lang w:val="en-US" w:eastAsia="zh-CN" w:bidi="ar-SA"/>
        </w:rPr>
        <w:t>项目，</w:t>
      </w:r>
      <w:r>
        <w:rPr>
          <w:rFonts w:hint="eastAsia" w:ascii="仿宋_GB2312" w:hAnsi="仿宋_GB2312" w:eastAsia="仿宋_GB2312" w:cs="仿宋_GB2312"/>
          <w:b w:val="0"/>
          <w:bCs/>
          <w:color w:val="auto"/>
          <w:sz w:val="32"/>
          <w:szCs w:val="24"/>
          <w:highlight w:val="none"/>
          <w:lang w:val="en-US" w:eastAsia="zh-CN" w:bidi="ar-SA"/>
        </w:rPr>
        <w:t>有</w:t>
      </w:r>
      <w:r>
        <w:rPr>
          <w:rFonts w:hint="eastAsia" w:ascii="仿宋_GB2312" w:hAnsi="仿宋_GB2312" w:eastAsia="仿宋_GB2312" w:cs="仿宋_GB2312"/>
          <w:color w:val="auto"/>
          <w:sz w:val="32"/>
          <w:szCs w:val="24"/>
          <w:highlight w:val="none"/>
          <w:lang w:val="en-US" w:eastAsia="zh-CN" w:bidi="ar-SA"/>
        </w:rPr>
        <w:t>相应的行业标准和历史标准，故采用</w:t>
      </w:r>
      <w:r>
        <w:rPr>
          <w:rFonts w:hint="eastAsia" w:ascii="仿宋_GB2312" w:eastAsia="仿宋_GB2312"/>
          <w:color w:val="auto"/>
          <w:sz w:val="32"/>
          <w:highlight w:val="none"/>
        </w:rPr>
        <w:t>计划标准、行业标准、历史标准</w:t>
      </w:r>
      <w:r>
        <w:rPr>
          <w:rFonts w:hint="eastAsia" w:ascii="仿宋_GB2312" w:hAnsi="仿宋_GB2312" w:eastAsia="仿宋_GB2312" w:cs="仿宋_GB2312"/>
          <w:color w:val="auto"/>
          <w:sz w:val="32"/>
          <w:szCs w:val="24"/>
          <w:highlight w:val="none"/>
          <w:lang w:val="en-US" w:eastAsia="zh-CN" w:bidi="ar-SA"/>
        </w:rPr>
        <w:t>评价该项目。</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firstLine="643" w:firstLineChars="200"/>
        <w:contextualSpacing/>
        <w:textAlignment w:val="auto"/>
        <w:rPr>
          <w:rFonts w:hint="eastAsia" w:ascii="楷体" w:hAnsi="楷体" w:eastAsia="楷体" w:cs="仿宋_GB2312"/>
          <w:b/>
          <w:bCs/>
          <w:color w:val="auto"/>
          <w:sz w:val="32"/>
          <w:szCs w:val="24"/>
          <w:highlight w:val="none"/>
          <w:lang w:val="en-US" w:eastAsia="zh-CN" w:bidi="ar-SA"/>
        </w:rPr>
      </w:pPr>
      <w:r>
        <w:rPr>
          <w:rFonts w:hint="eastAsia" w:ascii="楷体" w:hAnsi="楷体" w:eastAsia="楷体" w:cs="仿宋_GB2312"/>
          <w:b/>
          <w:bCs/>
          <w:color w:val="auto"/>
          <w:sz w:val="32"/>
          <w:szCs w:val="24"/>
          <w:highlight w:val="none"/>
          <w:lang w:val="en-US" w:eastAsia="zh-CN" w:bidi="ar-SA"/>
        </w:rPr>
        <w:t>（三）绩效评价工作过程。</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600" w:leftChars="200"/>
        <w:contextualSpacing/>
        <w:textAlignment w:val="auto"/>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1．前期准备</w:t>
      </w:r>
    </w:p>
    <w:p>
      <w:pPr>
        <w:pStyle w:val="30"/>
        <w:keepNext w:val="0"/>
        <w:keepLines w:val="0"/>
        <w:pageBreakBefore w:val="0"/>
        <w:widowControl w:val="0"/>
        <w:numPr>
          <w:ilvl w:val="0"/>
          <w:numId w:val="0"/>
        </w:numPr>
        <w:kinsoku/>
        <w:wordWrap/>
        <w:overflowPunct/>
        <w:topLinePunct w:val="0"/>
        <w:autoSpaceDE/>
        <w:bidi w:val="0"/>
        <w:snapToGrid/>
        <w:spacing w:before="0" w:after="0" w:line="560" w:lineRule="exact"/>
        <w:ind w:firstLine="640" w:firstLineChars="200"/>
        <w:textAlignment w:val="auto"/>
        <w:outlineLvl w:val="9"/>
        <w:rPr>
          <w:b w:val="0"/>
          <w:bCs w:val="0"/>
          <w:color w:val="auto"/>
          <w:highlight w:val="none"/>
        </w:rPr>
      </w:pPr>
      <w:r>
        <w:rPr>
          <w:rFonts w:hint="eastAsia"/>
          <w:b w:val="0"/>
          <w:bCs w:val="0"/>
          <w:color w:val="auto"/>
          <w:highlight w:val="none"/>
        </w:rPr>
        <w:t>本次评价成立了评价工作组，成员如下：</w:t>
      </w:r>
    </w:p>
    <w:tbl>
      <w:tblPr>
        <w:tblStyle w:val="12"/>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8"/>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7"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务</w:t>
            </w:r>
          </w:p>
        </w:tc>
        <w:tc>
          <w:tcPr>
            <w:tcW w:w="3901"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ind w:firstLine="640" w:firstLineChars="200"/>
              <w:jc w:val="both"/>
              <w:rPr>
                <w:b w:val="0"/>
                <w:bCs w:val="0"/>
                <w:color w:val="auto"/>
                <w:highlight w:val="none"/>
              </w:rPr>
            </w:pPr>
            <w:r>
              <w:rPr>
                <w:rFonts w:hint="eastAsia"/>
                <w:b w:val="0"/>
                <w:bCs w:val="0"/>
                <w:color w:val="auto"/>
                <w:highlight w:val="none"/>
              </w:rPr>
              <w:t>罗川江</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艾力江</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亚森·扎依尔</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出具项目绩效评价报告</w:t>
            </w:r>
          </w:p>
        </w:tc>
      </w:tr>
    </w:tbl>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基本业务经费项目的内容和特征制定了评价指标体系及评价标准以及评价实施方案，修正并确定所需资料清单，最终确定实施方案。</w:t>
      </w:r>
    </w:p>
    <w:p>
      <w:pPr>
        <w:pStyle w:val="29"/>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4月1日-4月20日，评价工作进入实施阶段。数据采集方面，评价组整理单位前期提交的各项资料，与项目实施负责人沟通，了解部门预算资金的内容、操作流程、管理机制、资金使用方向等情况；进行项目支出部门评价各项工作采集，了解项目设置背景及资金使用等情况。</w:t>
      </w:r>
    </w:p>
    <w:p>
      <w:pPr>
        <w:pStyle w:val="29"/>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9"/>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2025年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9"/>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9"/>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9"/>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组织管理、产出与效益效果。在此基础上，以相关的项目数据为基础，综合运用不同的评价方法，结合评价标准和评分规则，基本业务经费项目综合得分为86.86分，</w:t>
      </w:r>
      <w:r>
        <w:rPr>
          <w:rFonts w:hint="eastAsia" w:ascii="仿宋_GB2312" w:hAnsi="Cambria" w:eastAsia="仿宋_GB2312"/>
          <w:color w:val="auto"/>
          <w:sz w:val="32"/>
          <w:szCs w:val="32"/>
          <w:highlight w:val="none"/>
        </w:rPr>
        <w:t>评价结果为良。</w:t>
      </w:r>
    </w:p>
    <w:p>
      <w:pPr>
        <w:pStyle w:val="29"/>
        <w:spacing w:line="560" w:lineRule="exact"/>
        <w:ind w:firstLine="585" w:firstLineChars="182"/>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zh-CN" w:eastAsia="zh-CN" w:bidi="ar-SA"/>
        </w:rPr>
        <w:t>202</w:t>
      </w:r>
      <w:r>
        <w:rPr>
          <w:rFonts w:hint="eastAsia" w:ascii="仿宋_GB2312" w:hAnsi="仿宋_GB2312" w:eastAsia="仿宋_GB2312" w:cs="仿宋_GB2312"/>
          <w:b/>
          <w:color w:val="auto"/>
          <w:sz w:val="32"/>
          <w:szCs w:val="32"/>
          <w:highlight w:val="none"/>
          <w:lang w:val="en-US" w:eastAsia="zh-CN" w:bidi="ar-SA"/>
        </w:rPr>
        <w:t>4年基本业务经费项目评价得分情况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824"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vAlign w:val="top"/>
          </w:tcPr>
          <w:p>
            <w:pPr>
              <w:pStyle w:val="32"/>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35"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13.19</w:t>
            </w:r>
          </w:p>
        </w:tc>
        <w:tc>
          <w:tcPr>
            <w:tcW w:w="3866" w:type="dxa"/>
            <w:tcBorders>
              <w:top w:val="single" w:color="auto" w:sz="4" w:space="0"/>
              <w:left w:val="single" w:color="auto" w:sz="4" w:space="0"/>
              <w:right w:val="single" w:color="auto" w:sz="4" w:space="0"/>
            </w:tcBorders>
            <w:shd w:val="clear" w:color="auto" w:fill="FFFFFF"/>
            <w:vAlign w:val="bottom"/>
          </w:tcPr>
          <w:p>
            <w:pPr>
              <w:pStyle w:val="32"/>
              <w:spacing w:line="560" w:lineRule="exact"/>
              <w:ind w:firstLine="0"/>
              <w:jc w:val="left"/>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预算执行率23.8%</w:t>
            </w:r>
          </w:p>
        </w:tc>
      </w:tr>
      <w:tr>
        <w:tblPrEx>
          <w:tblLayout w:type="fixed"/>
          <w:tblCellMar>
            <w:top w:w="0" w:type="dxa"/>
            <w:left w:w="10" w:type="dxa"/>
            <w:bottom w:w="0" w:type="dxa"/>
            <w:right w:w="10" w:type="dxa"/>
          </w:tblCellMar>
        </w:tblPrEx>
        <w:trPr>
          <w:trHeight w:val="1097"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20.67</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两条指标未完成，成本预算执行率23.8%</w:t>
            </w: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86.86</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年基本业务经费项目资金达到了年初设立的绩效目标，在实施过程中取得了良好的成效，具体表现在以下几点：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val="en-US" w:eastAsia="zh-CN"/>
        </w:rPr>
        <w:t>本项目根据</w:t>
      </w:r>
      <w:r>
        <w:rPr>
          <w:rFonts w:hint="eastAsia" w:ascii="仿宋_GB2312" w:hAnsi="仿宋_GB2312" w:cs="仿宋_GB2312"/>
          <w:color w:val="auto"/>
          <w:sz w:val="32"/>
          <w:szCs w:val="32"/>
          <w:highlight w:val="none"/>
        </w:rPr>
        <w:t>《新疆维吾尔自治区武警消防业务经费管理办法》的通知、《研究阿图什市消防救援大队2024年业务经费预算事宜》、《关于推进消防救援事业高质量发展的意见》等文件相关政策要求，</w:t>
      </w:r>
      <w:r>
        <w:rPr>
          <w:rFonts w:hint="eastAsia" w:ascii="仿宋_GB2312" w:hAnsi="仿宋_GB2312" w:cs="仿宋_GB2312"/>
          <w:color w:val="auto"/>
          <w:sz w:val="32"/>
          <w:szCs w:val="32"/>
          <w:highlight w:val="none"/>
          <w:lang w:val="en-US" w:eastAsia="zh-CN"/>
        </w:rPr>
        <w:t>全年</w:t>
      </w:r>
      <w:r>
        <w:rPr>
          <w:rFonts w:hint="eastAsia" w:ascii="仿宋_GB2312" w:hAnsi="仿宋_GB2312" w:cs="仿宋_GB2312"/>
          <w:color w:val="auto"/>
          <w:sz w:val="32"/>
          <w:szCs w:val="32"/>
          <w:highlight w:val="none"/>
        </w:rPr>
        <w:t>实际保障消防大队</w:t>
      </w:r>
      <w:r>
        <w:rPr>
          <w:rFonts w:hint="eastAsia" w:ascii="仿宋_GB2312" w:hAnsi="仿宋_GB2312" w:cs="仿宋_GB2312"/>
          <w:color w:val="auto"/>
          <w:sz w:val="32"/>
          <w:szCs w:val="32"/>
          <w:highlight w:val="none"/>
          <w:lang w:val="en-US" w:eastAsia="zh-CN"/>
        </w:rPr>
        <w:t>业务</w:t>
      </w:r>
      <w:r>
        <w:rPr>
          <w:rFonts w:hint="eastAsia" w:ascii="仿宋_GB2312" w:hAnsi="仿宋_GB2312" w:cs="仿宋_GB2312"/>
          <w:color w:val="auto"/>
          <w:sz w:val="32"/>
          <w:szCs w:val="32"/>
          <w:highlight w:val="none"/>
        </w:rPr>
        <w:t>运转期限12个月，通过实施本项目，</w:t>
      </w:r>
      <w:r>
        <w:rPr>
          <w:rFonts w:hint="eastAsia" w:ascii="仿宋_GB2312" w:hAnsi="仿宋_GB2312" w:cs="仿宋_GB2312"/>
          <w:color w:val="auto"/>
          <w:sz w:val="32"/>
          <w:szCs w:val="32"/>
          <w:highlight w:val="none"/>
          <w:lang w:val="en-US" w:eastAsia="zh-CN"/>
        </w:rPr>
        <w:t>有效</w:t>
      </w:r>
      <w:r>
        <w:rPr>
          <w:rFonts w:hint="eastAsia" w:ascii="仿宋_GB2312" w:hAnsi="仿宋_GB2312" w:cs="仿宋_GB2312"/>
          <w:color w:val="auto"/>
          <w:sz w:val="32"/>
          <w:szCs w:val="32"/>
          <w:highlight w:val="none"/>
        </w:rPr>
        <w:t>完善</w:t>
      </w:r>
      <w:r>
        <w:rPr>
          <w:rFonts w:hint="eastAsia" w:ascii="仿宋_GB2312" w:hAnsi="仿宋_GB2312" w:cs="仿宋_GB2312"/>
          <w:color w:val="auto"/>
          <w:sz w:val="32"/>
          <w:szCs w:val="32"/>
          <w:highlight w:val="none"/>
          <w:lang w:val="en-US" w:eastAsia="zh-CN"/>
        </w:rPr>
        <w:t>了</w:t>
      </w:r>
      <w:r>
        <w:rPr>
          <w:rFonts w:hint="eastAsia" w:ascii="仿宋_GB2312" w:hAnsi="仿宋_GB2312" w:cs="仿宋_GB2312"/>
          <w:color w:val="auto"/>
          <w:sz w:val="32"/>
          <w:szCs w:val="32"/>
          <w:highlight w:val="none"/>
        </w:rPr>
        <w:t>消防业务经费保障机制，提高应急救援保障水平，改善公共消防基础设施，保护辖区群众生命财产安全。</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eastAsia="仿宋_GB2312" w:cs="宋体"/>
          <w:color w:val="auto"/>
          <w:kern w:val="0"/>
          <w:sz w:val="32"/>
          <w:szCs w:val="32"/>
          <w:highlight w:val="none"/>
          <w:lang w:val="en-US" w:eastAsia="zh-CN" w:bidi="ar-SA"/>
        </w:rPr>
        <w:t>基本业务经费项目</w:t>
      </w:r>
      <w:r>
        <w:rPr>
          <w:rFonts w:hint="eastAsia" w:ascii="仿宋_GB2312" w:hAnsi="仿宋_GB2312" w:cs="仿宋_GB2312"/>
          <w:color w:val="auto"/>
          <w:sz w:val="32"/>
          <w:szCs w:val="32"/>
          <w:highlight w:val="none"/>
        </w:rPr>
        <w:t>支出共计</w:t>
      </w:r>
      <w:r>
        <w:rPr>
          <w:rFonts w:hint="eastAsia" w:ascii="仿宋_GB2312" w:hAnsi="仿宋_GB2312" w:cs="仿宋_GB2312"/>
          <w:color w:val="auto"/>
          <w:sz w:val="32"/>
          <w:szCs w:val="32"/>
          <w:highlight w:val="none"/>
          <w:lang w:val="en-US" w:eastAsia="zh-CN"/>
        </w:rPr>
        <w:t>93.58</w:t>
      </w:r>
      <w:r>
        <w:rPr>
          <w:rFonts w:hint="eastAsia" w:ascii="仿宋_GB2312" w:hAnsi="仿宋_GB2312" w:cs="仿宋_GB2312"/>
          <w:color w:val="auto"/>
          <w:sz w:val="32"/>
          <w:szCs w:val="32"/>
          <w:highlight w:val="none"/>
        </w:rPr>
        <w:t>万元，评价得分值</w:t>
      </w:r>
      <w:r>
        <w:rPr>
          <w:rFonts w:hint="eastAsia" w:ascii="仿宋_GB2312" w:hAnsi="仿宋_GB2312" w:cs="仿宋_GB2312"/>
          <w:color w:val="auto"/>
          <w:sz w:val="32"/>
          <w:szCs w:val="32"/>
          <w:highlight w:val="none"/>
          <w:lang w:val="en-US" w:eastAsia="zh-CN"/>
        </w:rPr>
        <w:t>86.86</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5"/>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w:t>
      </w:r>
      <w:r>
        <w:rPr>
          <w:rFonts w:hint="eastAsia" w:ascii="仿宋_GB2312" w:hAnsi="仿宋" w:cs="宋体"/>
          <w:color w:val="auto"/>
          <w:sz w:val="32"/>
          <w:szCs w:val="32"/>
          <w:highlight w:val="none"/>
          <w:lang w:val="en-US" w:eastAsia="zh-CN"/>
        </w:rPr>
        <w:t>严格</w:t>
      </w:r>
      <w:r>
        <w:rPr>
          <w:rFonts w:hint="eastAsia" w:ascii="仿宋_GB2312" w:hAnsi="仿宋" w:cs="宋体"/>
          <w:color w:val="auto"/>
          <w:sz w:val="32"/>
          <w:szCs w:val="32"/>
          <w:highlight w:val="none"/>
        </w:rPr>
        <w:t>按照规定的程序申请设立；审批文件、材料符合相关要求；项目前期已经过必要的可行性研究、专家论证、风险评估、绩效评估、集体决策。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w:t>
      </w:r>
      <w:r>
        <w:rPr>
          <w:rFonts w:hint="eastAsia" w:ascii="仿宋_GB2312" w:hAnsi="仿宋" w:cs="宋体"/>
          <w:color w:val="auto"/>
          <w:sz w:val="32"/>
          <w:szCs w:val="32"/>
          <w:highlight w:val="none"/>
          <w:lang w:val="en-US" w:eastAsia="zh-CN"/>
        </w:rPr>
        <w:t>绩效目标</w:t>
      </w:r>
      <w:r>
        <w:rPr>
          <w:rFonts w:hint="eastAsia" w:ascii="仿宋_GB2312" w:hAnsi="仿宋" w:cs="宋体"/>
          <w:color w:val="auto"/>
          <w:sz w:val="32"/>
          <w:szCs w:val="32"/>
          <w:highlight w:val="none"/>
        </w:rPr>
        <w:t>与实际工作内容相关；项目预期产出效益和效果符合正常的业绩水平；</w:t>
      </w:r>
      <w:r>
        <w:rPr>
          <w:rFonts w:hint="eastAsia" w:ascii="仿宋_GB2312" w:hAnsi="仿宋" w:cs="宋体"/>
          <w:color w:val="auto"/>
          <w:sz w:val="32"/>
          <w:szCs w:val="32"/>
          <w:highlight w:val="none"/>
          <w:lang w:val="en-US" w:eastAsia="zh-CN"/>
        </w:rPr>
        <w:t>目标设置</w:t>
      </w:r>
      <w:r>
        <w:rPr>
          <w:rFonts w:hint="eastAsia" w:ascii="仿宋_GB2312" w:hAnsi="仿宋" w:cs="宋体"/>
          <w:color w:val="auto"/>
          <w:sz w:val="32"/>
          <w:szCs w:val="32"/>
          <w:highlight w:val="none"/>
        </w:rPr>
        <w:t>与预算确定的项目投资额或资金量相匹配。</w:t>
      </w:r>
      <w:r>
        <w:rPr>
          <w:rFonts w:hint="eastAsia" w:ascii="仿宋_GB2312" w:hAnsi="仿宋" w:cs="宋体"/>
          <w:color w:val="auto"/>
          <w:sz w:val="32"/>
          <w:szCs w:val="32"/>
          <w:highlight w:val="none"/>
          <w:lang w:val="en-US" w:eastAsia="zh-CN"/>
        </w:rPr>
        <w:t>严格按照要求</w:t>
      </w:r>
      <w:r>
        <w:rPr>
          <w:rFonts w:hint="eastAsia" w:ascii="仿宋_GB2312" w:hAnsi="仿宋" w:cs="宋体"/>
          <w:color w:val="auto"/>
          <w:sz w:val="32"/>
          <w:szCs w:val="32"/>
          <w:highlight w:val="none"/>
        </w:rPr>
        <w:t>将项目绩效目标细化分解为具体的绩效指标</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eastAsia="zh-CN"/>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r>
        <w:rPr>
          <w:rFonts w:hint="eastAsia" w:ascii="仿宋_GB2312" w:hAnsi="仿宋" w:cs="宋体"/>
          <w:color w:val="auto"/>
          <w:sz w:val="32"/>
          <w:szCs w:val="32"/>
          <w:highlight w:val="none"/>
          <w:lang w:eastAsia="zh-CN"/>
        </w:rPr>
        <w:t>。</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及时支付，资金使用符合国家法规和财务管理制度；资金拨付有完整的审批程序和手续，符合项目预算批复或合同规定的用途；</w:t>
      </w:r>
      <w:r>
        <w:rPr>
          <w:rFonts w:hint="eastAsia" w:ascii="仿宋_GB2312" w:hAnsi="仿宋" w:cs="宋体"/>
          <w:color w:val="auto"/>
          <w:sz w:val="32"/>
          <w:szCs w:val="32"/>
          <w:highlight w:val="none"/>
          <w:lang w:val="en-US" w:eastAsia="zh-CN"/>
        </w:rPr>
        <w:t>不</w:t>
      </w:r>
      <w:r>
        <w:rPr>
          <w:rFonts w:hint="eastAsia" w:ascii="仿宋_GB2312" w:hAnsi="仿宋" w:cs="宋体"/>
          <w:color w:val="auto"/>
          <w:sz w:val="32"/>
          <w:szCs w:val="32"/>
          <w:highlight w:val="none"/>
        </w:rPr>
        <w:t>存在截留、挤占、挪用、虚列支出等情况。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w:t>
      </w: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5年</w:t>
      </w:r>
      <w:r>
        <w:rPr>
          <w:rFonts w:hint="eastAsia" w:ascii="仿宋_GB2312" w:hAnsi="仿宋_GB2312" w:cs="仿宋_GB2312"/>
          <w:color w:val="auto"/>
          <w:sz w:val="32"/>
          <w:szCs w:val="32"/>
          <w:highlight w:val="none"/>
        </w:rPr>
        <w:t>基本业务经费项目预算依据</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继而进行该项目支出预算的编制、执行和上报等工作。在项目预算的编制工程中，坚持履行政府职能方面的轻重缓急程度进行先后排序，坚持对基本业务经费项目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w:t>
      </w:r>
      <w:r>
        <w:rPr>
          <w:rFonts w:hint="eastAsia" w:ascii="仿宋_GB2312" w:hAnsi="仿宋_GB2312" w:cs="仿宋_GB2312"/>
          <w:color w:val="auto"/>
          <w:sz w:val="32"/>
          <w:szCs w:val="32"/>
          <w:highlight w:val="none"/>
          <w:lang w:val="en-US" w:eastAsia="zh-CN"/>
        </w:rPr>
        <w:t>阿图什市</w:t>
      </w:r>
      <w:r>
        <w:rPr>
          <w:rFonts w:hint="eastAsia" w:ascii="仿宋_GB2312" w:hAnsi="仿宋_GB2312" w:cs="仿宋_GB2312"/>
          <w:color w:val="auto"/>
          <w:sz w:val="32"/>
          <w:szCs w:val="32"/>
          <w:highlight w:val="none"/>
        </w:rPr>
        <w:t>财政局从资金申请、资金使用、会计核算三个环节加强资金管理。在项目资金申请环节，负责科室严格按照国库集中支付流程向市财政局申请财政资金，我局通过召开党组会议确定基本业务经费项目组织形式，明确了该项目经费的开支范围为</w:t>
      </w:r>
      <w:r>
        <w:rPr>
          <w:rFonts w:hint="eastAsia" w:ascii="仿宋_GB2312" w:hAnsi="仿宋_GB2312" w:cs="仿宋_GB2312"/>
          <w:color w:val="auto"/>
          <w:sz w:val="32"/>
          <w:szCs w:val="32"/>
          <w:highlight w:val="none"/>
          <w:lang w:val="en-US" w:eastAsia="zh-CN"/>
        </w:rPr>
        <w:t>业务运转支出</w:t>
      </w:r>
      <w:r>
        <w:rPr>
          <w:rFonts w:hint="eastAsia" w:ascii="仿宋_GB2312" w:hAnsi="仿宋_GB2312" w:cs="仿宋_GB2312"/>
          <w:color w:val="auto"/>
          <w:sz w:val="32"/>
          <w:szCs w:val="32"/>
          <w:highlight w:val="none"/>
        </w:rPr>
        <w:t>，严格做到专款专用，责任到人。在资金使用环节，严格遵守相关规定，严格按照我局资金财务审批流程办理款项支付。在会计核算环节，对本项目资金实际单独核算，确保</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年初财政批复的</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）依照预算资金管理制度，按照不定期检查与项目周期检查相结合的方式，对</w:t>
      </w:r>
      <w:r>
        <w:rPr>
          <w:rFonts w:hint="eastAsia" w:ascii="仿宋_GB2312" w:hAnsi="仿宋_GB2312" w:cs="仿宋_GB2312"/>
          <w:color w:val="auto"/>
          <w:sz w:val="32"/>
          <w:szCs w:val="32"/>
          <w:highlight w:val="none"/>
          <w:lang w:val="en-US" w:eastAsia="zh-CN"/>
        </w:rPr>
        <w:t>财政资金</w:t>
      </w:r>
      <w:r>
        <w:rPr>
          <w:rFonts w:hint="eastAsia" w:ascii="仿宋_GB2312" w:hAnsi="仿宋_GB2312" w:cs="仿宋_GB2312"/>
          <w:color w:val="auto"/>
          <w:sz w:val="32"/>
          <w:szCs w:val="32"/>
          <w:highlight w:val="none"/>
        </w:rPr>
        <w:t>的使用情况进行监督检查。重点督查专项资金的使用进度，资金落实情况，对发现的问题，采取措施及时纠正、强化管理，确保专项资金安全使用。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年基本业务经费项目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（三）项目产出情况</w:t>
      </w:r>
    </w:p>
    <w:p>
      <w:pPr>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数量指标为保障大队运转期限，预期指标值是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12个月，实际完成值是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12个月，指标达到预期目标。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2．</w:t>
      </w:r>
      <w:r>
        <w:rPr>
          <w:rFonts w:hint="eastAsia" w:ascii="仿宋_GB2312"/>
          <w:b/>
          <w:bCs w:val="0"/>
          <w:color w:val="auto"/>
          <w:sz w:val="32"/>
          <w:szCs w:val="32"/>
          <w:highlight w:val="none"/>
        </w:rPr>
        <w:t>质量指标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质量指标为资金使用合规率，预期指标值是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23.8%，指标达到预期目标。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质量指标为工作质量达标率，预期指标值是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0" w:leftChars="0"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3．</w:t>
      </w:r>
      <w:r>
        <w:rPr>
          <w:rFonts w:hint="eastAsia" w:ascii="仿宋_GB2312"/>
          <w:b/>
          <w:color w:val="auto"/>
          <w:sz w:val="32"/>
          <w:szCs w:val="32"/>
          <w:highlight w:val="none"/>
        </w:rPr>
        <w:t>时效指标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600" w:left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时效指标为项目完成时间，预期指标值是2024年12月，实际完成值是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2024年12月，指标达到预期目标。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600" w:leftChars="200"/>
        <w:jc w:val="both"/>
        <w:textAlignment w:val="auto"/>
        <w:rPr>
          <w:rFonts w:ascii="仿宋_GB2312"/>
          <w:color w:val="auto"/>
          <w:sz w:val="32"/>
          <w:szCs w:val="32"/>
          <w:highlight w:val="none"/>
        </w:rPr>
      </w:pPr>
      <w:r>
        <w:rPr>
          <w:rFonts w:hint="eastAsia" w:ascii="仿宋_GB2312"/>
          <w:color w:val="auto"/>
          <w:sz w:val="32"/>
          <w:szCs w:val="32"/>
          <w:highlight w:val="none"/>
        </w:rPr>
        <w:t>经费保障及时率，预期指标值是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23.8%，指标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达到预期目标。原因：项目部分支出资料及手续不完整，导致指标未能完成；措施：下一年度做好项目管理工作，及时收集、完善支出资料，</w:t>
      </w:r>
      <w:r>
        <w:rPr>
          <w:rFonts w:hint="eastAsia" w:ascii="仿宋_GB2312"/>
          <w:color w:val="auto"/>
          <w:sz w:val="32"/>
          <w:szCs w:val="32"/>
          <w:highlight w:val="none"/>
          <w:lang w:val="en-US" w:eastAsia="zh-CN"/>
        </w:rPr>
        <w:t>提高预算执行率，</w:t>
      </w:r>
      <w:r>
        <w:rPr>
          <w:rFonts w:hint="eastAsia" w:ascii="仿宋_GB2312"/>
          <w:color w:val="auto"/>
          <w:sz w:val="32"/>
          <w:szCs w:val="32"/>
          <w:highlight w:val="none"/>
        </w:rPr>
        <w:t>减少偏差。</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b/>
          <w:color w:val="auto"/>
          <w:sz w:val="32"/>
          <w:szCs w:val="32"/>
          <w:highlight w:val="none"/>
        </w:rPr>
      </w:pPr>
      <w:r>
        <w:rPr>
          <w:rFonts w:hint="eastAsia" w:ascii="仿宋_GB2312"/>
          <w:b/>
          <w:color w:val="auto"/>
          <w:sz w:val="32"/>
          <w:szCs w:val="32"/>
          <w:highlight w:val="none"/>
        </w:rPr>
        <w:t>4．成本指标</w:t>
      </w:r>
    </w:p>
    <w:p>
      <w:pPr>
        <w:pageBreakBefore w:val="0"/>
        <w:widowControl w:val="0"/>
        <w:kinsoku/>
        <w:wordWrap/>
        <w:overflowPunct/>
        <w:topLinePunct w:val="0"/>
        <w:autoSpaceDE/>
        <w:bidi w:val="0"/>
        <w:spacing w:line="560" w:lineRule="exact"/>
        <w:ind w:firstLine="640" w:firstLineChars="200"/>
        <w:jc w:val="both"/>
        <w:textAlignment w:val="auto"/>
        <w:rPr>
          <w:rFonts w:hint="default" w:ascii="仿宋_GB2312" w:eastAsia="仿宋_GB2312"/>
          <w:color w:val="auto"/>
          <w:sz w:val="32"/>
          <w:szCs w:val="32"/>
          <w:highlight w:val="none"/>
          <w:lang w:val="en-US" w:eastAsia="zh-CN"/>
        </w:rPr>
      </w:pPr>
      <w:r>
        <w:rPr>
          <w:rFonts w:hint="eastAsia" w:ascii="仿宋_GB2312"/>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ascii="楷体" w:hAnsi="楷体" w:eastAsia="楷体" w:cs="宋体"/>
          <w:b/>
          <w:bCs w:val="0"/>
          <w:color w:val="auto"/>
          <w:sz w:val="32"/>
          <w:szCs w:val="32"/>
          <w:highlight w:val="none"/>
        </w:rPr>
      </w:pPr>
      <w:r>
        <w:rPr>
          <w:rFonts w:hint="eastAsia" w:ascii="楷体" w:hAnsi="楷体" w:eastAsia="楷体" w:cs="宋体"/>
          <w:b/>
          <w:bCs w:val="0"/>
          <w:color w:val="auto"/>
          <w:sz w:val="32"/>
          <w:szCs w:val="32"/>
          <w:highlight w:val="none"/>
        </w:rPr>
        <w:t>（四）项目效益情况</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ascii="仿宋_GB2312" w:hAnsi="仿宋" w:cs="宋体"/>
          <w:b/>
          <w:bCs/>
          <w:color w:val="auto"/>
          <w:sz w:val="32"/>
          <w:szCs w:val="32"/>
          <w:highlight w:val="none"/>
        </w:rPr>
        <w:t xml:space="preserve"> </w:t>
      </w:r>
      <w:r>
        <w:rPr>
          <w:rFonts w:hint="eastAsia" w:ascii="仿宋_GB2312" w:hAnsi="仿宋" w:cs="宋体"/>
          <w:b/>
          <w:bCs/>
          <w:color w:val="auto"/>
          <w:sz w:val="32"/>
          <w:szCs w:val="32"/>
          <w:highlight w:val="none"/>
        </w:rPr>
        <w:t>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hint="default" w:ascii="仿宋_GB2312" w:eastAsia="仿宋_GB2312"/>
          <w:color w:val="auto"/>
          <w:sz w:val="32"/>
          <w:szCs w:val="32"/>
          <w:highlight w:val="none"/>
          <w:lang w:val="en-US" w:eastAsia="zh-CN"/>
        </w:rPr>
      </w:pPr>
      <w:r>
        <w:rPr>
          <w:rFonts w:hint="eastAsia" w:ascii="仿宋_GB2312"/>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指标为保障日常业务工作有序开展，预期指标值是有效保障，实际完成值是有效保障，指标达到预期目标。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hAnsi="仿宋" w:cs="宋体"/>
          <w:bCs/>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lang w:val="en-US" w:eastAsia="zh-CN"/>
        </w:rPr>
        <w:t>4</w:t>
      </w:r>
      <w:r>
        <w:rPr>
          <w:rFonts w:hint="eastAsia" w:ascii="仿宋_GB2312" w:hAnsi="仿宋" w:cs="宋体"/>
          <w:b/>
          <w:bCs/>
          <w:color w:val="auto"/>
          <w:sz w:val="32"/>
          <w:szCs w:val="32"/>
          <w:highlight w:val="none"/>
        </w:rPr>
        <w:t>．满意度指标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满意度指标为干部职工满意度，预期指标值是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95%，实际完成值是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95%，指标达到预期目标。</w:t>
      </w:r>
    </w:p>
    <w:p>
      <w:pPr>
        <w:pStyle w:val="5"/>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黑体" w:hAnsi="黑体" w:eastAsia="黑体" w:cs="仿宋_GB2312"/>
          <w:b w:val="0"/>
          <w:bCs w:val="0"/>
          <w:color w:val="auto"/>
          <w:kern w:val="2"/>
          <w:sz w:val="32"/>
          <w:szCs w:val="32"/>
          <w:highlight w:val="none"/>
          <w:lang w:val="en-US" w:eastAsia="zh-CN" w:bidi="ar-SA"/>
        </w:rPr>
      </w:pPr>
      <w:r>
        <w:rPr>
          <w:rFonts w:hint="default" w:ascii="黑体" w:hAnsi="黑体" w:eastAsia="黑体" w:cs="仿宋_GB2312"/>
          <w:b w:val="0"/>
          <w:bCs w:val="0"/>
          <w:color w:val="auto"/>
          <w:kern w:val="2"/>
          <w:sz w:val="32"/>
          <w:szCs w:val="32"/>
          <w:highlight w:val="none"/>
          <w:lang w:val="en-US" w:eastAsia="zh-CN" w:bidi="ar-SA"/>
        </w:rPr>
        <w:t>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本项目实施效果较好的原因主要是管理制度完善、责任落实到位，跟踪考核机制完善且运行有效，在项目实施过程中创新管理办法，使项目取得了良好的效果</w:t>
      </w:r>
      <w:r>
        <w:rPr>
          <w:rFonts w:hint="eastAsia"/>
          <w:b w:val="0"/>
          <w:color w:val="auto"/>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cs="Times New Roman"/>
          <w:color w:val="auto"/>
          <w:sz w:val="32"/>
          <w:highlight w:val="none"/>
          <w:lang w:val="en-US" w:eastAsia="zh-CN"/>
        </w:rPr>
      </w:pPr>
      <w:r>
        <w:rPr>
          <w:rFonts w:hint="eastAsia"/>
          <w:color w:val="auto"/>
          <w:sz w:val="32"/>
          <w:highlight w:val="none"/>
        </w:rPr>
        <w:t>偏差原因：项目部分支出资料及手续不完整，</w:t>
      </w:r>
      <w:r>
        <w:rPr>
          <w:rFonts w:hint="eastAsia"/>
          <w:color w:val="auto"/>
          <w:sz w:val="32"/>
          <w:highlight w:val="none"/>
          <w:lang w:val="en-US" w:eastAsia="zh-CN"/>
        </w:rPr>
        <w:t>一条</w:t>
      </w:r>
      <w:r>
        <w:rPr>
          <w:rFonts w:hint="eastAsia"/>
          <w:color w:val="auto"/>
          <w:sz w:val="32"/>
          <w:highlight w:val="none"/>
        </w:rPr>
        <w:t>指标未能</w:t>
      </w:r>
      <w:r>
        <w:rPr>
          <w:rFonts w:hint="eastAsia" w:ascii="Times New Roman" w:hAnsi="Times New Roman" w:cs="Times New Roman"/>
          <w:color w:val="auto"/>
          <w:sz w:val="32"/>
          <w:highlight w:val="none"/>
        </w:rPr>
        <w:t>完成</w:t>
      </w:r>
      <w:r>
        <w:rPr>
          <w:rFonts w:hint="eastAsia" w:ascii="Times New Roman" w:hAnsi="Times New Roman" w:cs="Times New Roman"/>
          <w:color w:val="auto"/>
          <w:sz w:val="32"/>
          <w:highlight w:val="none"/>
          <w:lang w:eastAsia="zh-CN"/>
        </w:rPr>
        <w:t>，</w:t>
      </w:r>
      <w:r>
        <w:rPr>
          <w:rFonts w:hint="eastAsia" w:ascii="Times New Roman" w:hAnsi="Times New Roman" w:cs="Times New Roman"/>
          <w:color w:val="auto"/>
          <w:sz w:val="32"/>
          <w:highlight w:val="none"/>
          <w:lang w:val="en-US" w:eastAsia="zh-CN"/>
        </w:rPr>
        <w:t>预算执行率未达预期目标，部门单位财务管理制度待提升，提高财政预算项目执行率和日常业务工作质量和效率。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ascii="黑体" w:hAnsi="黑体" w:eastAsia="黑体"/>
          <w:b/>
          <w:bCs/>
          <w:color w:val="auto"/>
          <w:highlight w:val="none"/>
        </w:rPr>
      </w:pPr>
      <w:r>
        <w:rPr>
          <w:rFonts w:hint="eastAsia" w:ascii="黑体" w:hAnsi="黑体" w:eastAsia="黑体"/>
          <w:b w:val="0"/>
          <w:bCs w:val="0"/>
          <w:color w:val="auto"/>
          <w:highlight w:val="none"/>
          <w:lang w:val="en-US" w:eastAsia="zh-CN"/>
        </w:rPr>
        <w:t>六、有关建议</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开展进度的跟踪，确保项目绩效目标的完成。规范程序，严格把关。进一步完善项目申报、审核、公示、审批等程序，严格做好项目信息公开，公开内容要及时、完整、真实，确保项目公平、公开、公正。</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w:t>
      </w:r>
      <w:bookmarkStart w:id="0" w:name="_GoBack"/>
      <w:bookmarkEnd w:id="0"/>
      <w:r>
        <w:rPr>
          <w:rFonts w:hint="eastAsia" w:ascii="仿宋_GB2312" w:hAnsi="仿宋" w:eastAsia="仿宋_GB2312" w:cs="宋体"/>
          <w:b w:val="0"/>
          <w:color w:val="auto"/>
          <w:kern w:val="2"/>
          <w:highlight w:val="none"/>
        </w:rPr>
        <w:t>同时及时完善资料。</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七</w:t>
      </w:r>
      <w:r>
        <w:rPr>
          <w:rFonts w:hint="eastAsia" w:ascii="黑体" w:hAnsi="黑体" w:eastAsia="黑体"/>
          <w:b w:val="0"/>
          <w:bCs w:val="0"/>
          <w:color w:val="auto"/>
          <w:highlight w:val="none"/>
        </w:rPr>
        <w:t>、其他需要说明的问题</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lang w:val="en-US" w:eastAsia="zh-CN"/>
        </w:rPr>
      </w:pPr>
      <w:r>
        <w:rPr>
          <w:rFonts w:hint="eastAsia" w:ascii="仿宋_GB2312" w:hAnsi="仿宋" w:eastAsia="仿宋_GB2312" w:cs="宋体"/>
          <w:b w:val="0"/>
          <w:color w:val="auto"/>
          <w:kern w:val="2"/>
          <w:highlight w:val="none"/>
          <w:lang w:val="en-US" w:eastAsia="zh-CN"/>
        </w:rPr>
        <w:t>无。</w:t>
      </w:r>
    </w:p>
    <w:p>
      <w:pPr>
        <w:spacing w:line="560" w:lineRule="exac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1.19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eastAsia="仿宋_GB2312" w:cs="仿宋_GB2312"/>
                <w:color w:val="auto"/>
                <w:sz w:val="24"/>
                <w:highlight w:val="none"/>
                <w:lang w:eastAsia="zh-CN"/>
              </w:rPr>
            </w:pPr>
            <w:r>
              <w:rPr>
                <w:rFonts w:hint="eastAsia" w:ascii="仿宋_GB2312" w:hAnsi="仿宋_GB2312" w:cs="仿宋_GB2312"/>
                <w:color w:val="auto"/>
                <w:sz w:val="24"/>
                <w:highlight w:val="none"/>
                <w:lang w:val="en-US" w:eastAsia="zh-CN"/>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1.67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vAlign w:val="center"/>
          </w:tcPr>
          <w:p>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lang w:val="en-US" w:eastAsia="zh-CN"/>
              </w:rPr>
              <w:t>86.86</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CB870F"/>
    <w:multiLevelType w:val="multilevel"/>
    <w:tmpl w:val="68CB870F"/>
    <w:lvl w:ilvl="0" w:tentative="0">
      <w:start w:val="1"/>
      <w:numFmt w:val="chineseCountingThousand"/>
      <w:pStyle w:val="3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8CB871A"/>
    <w:multiLevelType w:val="singleLevel"/>
    <w:tmpl w:val="68CB871A"/>
    <w:lvl w:ilvl="0" w:tentative="0">
      <w:start w:val="3"/>
      <w:numFmt w:val="decimal"/>
      <w:suff w:val="nothing"/>
      <w:lvlText w:val="%1．"/>
      <w:lvlJc w:val="left"/>
      <w:rPr>
        <w:rFonts w:hint="default"/>
        <w:b/>
        <w:bCs/>
        <w:color w:val="auto"/>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lMjdkODEyNTc2ZDAwN2RkM2JkNjRmYzZhOGM2MzQifQ=="/>
  </w:docVars>
  <w:rsids>
    <w:rsidRoot w:val="00000000"/>
    <w:rsid w:val="36A01E5D"/>
    <w:rsid w:val="590B5E47"/>
    <w:rsid w:val="5C4E3C0B"/>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unhideWhenUsed/>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unhideWhenUsed/>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qFormat/>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qFormat/>
    <w:uiPriority w:val="0"/>
    <w:rPr>
      <w:sz w:val="18"/>
      <w:szCs w:val="18"/>
    </w:rPr>
  </w:style>
  <w:style w:type="paragraph" w:styleId="8">
    <w:name w:val="footer"/>
    <w:basedOn w:val="1"/>
    <w:link w:val="21"/>
    <w:qFormat/>
    <w:uiPriority w:val="0"/>
    <w:pPr>
      <w:tabs>
        <w:tab w:val="center" w:pos="4153"/>
        <w:tab w:val="right" w:pos="8306"/>
      </w:tabs>
      <w:snapToGrid w:val="0"/>
      <w:jc w:val="left"/>
    </w:pPr>
    <w:rPr>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qFormat/>
    <w:uiPriority w:val="0"/>
    <w:pPr>
      <w:jc w:val="left"/>
    </w:pPr>
  </w:style>
  <w:style w:type="paragraph" w:customStyle="1" w:styleId="15">
    <w:name w:val="Comment Subject"/>
    <w:basedOn w:val="14"/>
    <w:next w:val="14"/>
    <w:link w:val="23"/>
    <w:qFormat/>
    <w:uiPriority w:val="0"/>
    <w:rPr>
      <w:b/>
      <w:bCs/>
    </w:rPr>
  </w:style>
  <w:style w:type="character" w:customStyle="1" w:styleId="16">
    <w:name w:val="Comment Reference"/>
    <w:qFormat/>
    <w:uiPriority w:val="0"/>
    <w:rPr>
      <w:sz w:val="21"/>
      <w:szCs w:val="21"/>
    </w:rPr>
  </w:style>
  <w:style w:type="character" w:customStyle="1" w:styleId="17">
    <w:name w:val="标题 1 Char"/>
    <w:basedOn w:val="10"/>
    <w:link w:val="3"/>
    <w:qFormat/>
    <w:uiPriority w:val="0"/>
    <w:rPr>
      <w:rFonts w:eastAsia="仿宋_GB2312"/>
      <w:b/>
      <w:bCs/>
      <w:kern w:val="44"/>
      <w:sz w:val="44"/>
      <w:szCs w:val="44"/>
    </w:rPr>
  </w:style>
  <w:style w:type="character" w:customStyle="1" w:styleId="18">
    <w:name w:val="标题 2 Char"/>
    <w:basedOn w:val="10"/>
    <w:link w:val="4"/>
    <w:semiHidden/>
    <w:qFormat/>
    <w:uiPriority w:val="0"/>
    <w:rPr>
      <w:rFonts w:ascii="Cambria" w:hAnsi="Cambria" w:eastAsia="宋体" w:cs="Times New Roman"/>
      <w:b/>
      <w:bCs/>
      <w:kern w:val="2"/>
      <w:sz w:val="32"/>
      <w:szCs w:val="32"/>
    </w:rPr>
  </w:style>
  <w:style w:type="character" w:customStyle="1" w:styleId="19">
    <w:name w:val="批注文字 字符"/>
    <w:link w:val="14"/>
    <w:uiPriority w:val="0"/>
    <w:rPr>
      <w:rFonts w:eastAsia="仿宋_GB2312"/>
      <w:kern w:val="2"/>
      <w:sz w:val="30"/>
      <w:szCs w:val="24"/>
    </w:rPr>
  </w:style>
  <w:style w:type="character" w:customStyle="1" w:styleId="20">
    <w:name w:val="批注框文本 字符"/>
    <w:link w:val="7"/>
    <w:uiPriority w:val="0"/>
    <w:rPr>
      <w:rFonts w:eastAsia="仿宋_GB2312"/>
      <w:kern w:val="2"/>
      <w:sz w:val="18"/>
      <w:szCs w:val="18"/>
    </w:rPr>
  </w:style>
  <w:style w:type="character" w:customStyle="1" w:styleId="21">
    <w:name w:val="页脚 字符"/>
    <w:link w:val="8"/>
    <w:qFormat/>
    <w:uiPriority w:val="0"/>
    <w:rPr>
      <w:rFonts w:eastAsia="仿宋_GB2312"/>
      <w:kern w:val="2"/>
      <w:sz w:val="18"/>
      <w:szCs w:val="18"/>
    </w:rPr>
  </w:style>
  <w:style w:type="character" w:customStyle="1" w:styleId="22">
    <w:name w:val="页眉 字符"/>
    <w:link w:val="9"/>
    <w:qFormat/>
    <w:uiPriority w:val="0"/>
    <w:rPr>
      <w:rFonts w:eastAsia="仿宋_GB2312"/>
      <w:kern w:val="2"/>
      <w:sz w:val="18"/>
      <w:szCs w:val="18"/>
    </w:rPr>
  </w:style>
  <w:style w:type="character" w:customStyle="1" w:styleId="23">
    <w:name w:val="批注主题 字符"/>
    <w:link w:val="15"/>
    <w:uiPriority w:val="0"/>
    <w:rPr>
      <w:rFonts w:eastAsia="仿宋_GB2312"/>
      <w:b/>
      <w:bCs/>
      <w:kern w:val="2"/>
      <w:sz w:val="30"/>
      <w:szCs w:val="24"/>
    </w:rPr>
  </w:style>
  <w:style w:type="character" w:customStyle="1" w:styleId="24">
    <w:name w:val="闻政正文 Char"/>
    <w:link w:val="25"/>
    <w:qFormat/>
    <w:uiPriority w:val="0"/>
    <w:rPr>
      <w:rFonts w:eastAsia="仿宋_GB2312"/>
      <w:sz w:val="28"/>
      <w:szCs w:val="28"/>
    </w:rPr>
  </w:style>
  <w:style w:type="paragraph" w:customStyle="1" w:styleId="25">
    <w:name w:val="闻政正文"/>
    <w:basedOn w:val="1"/>
    <w:link w:val="24"/>
    <w:qFormat/>
    <w:uiPriority w:val="0"/>
    <w:pPr>
      <w:spacing w:line="500" w:lineRule="exact"/>
      <w:ind w:firstLine="560" w:firstLineChars="200"/>
    </w:pPr>
    <w:rPr>
      <w:kern w:val="0"/>
      <w:sz w:val="28"/>
      <w:szCs w:val="28"/>
    </w:rPr>
  </w:style>
  <w:style w:type="character" w:customStyle="1" w:styleId="26">
    <w:name w:val="闻政-正文三级标题 Char"/>
    <w:link w:val="27"/>
    <w:qFormat/>
    <w:uiPriority w:val="3"/>
    <w:rPr>
      <w:rFonts w:eastAsia="仿宋_GB2312"/>
      <w:b/>
      <w:snapToGrid w:val="0"/>
      <w:sz w:val="28"/>
      <w:szCs w:val="28"/>
    </w:rPr>
  </w:style>
  <w:style w:type="paragraph" w:customStyle="1" w:styleId="27">
    <w:name w:val="闻政-正文三级标题"/>
    <w:basedOn w:val="1"/>
    <w:next w:val="1"/>
    <w:link w:val="26"/>
    <w:qFormat/>
    <w:uiPriority w:val="3"/>
    <w:pPr>
      <w:widowControl/>
      <w:spacing w:before="120" w:after="60" w:line="500" w:lineRule="exact"/>
      <w:ind w:left="200" w:leftChars="200"/>
    </w:pPr>
    <w:rPr>
      <w:b/>
      <w:snapToGrid w:val="0"/>
      <w:kern w:val="0"/>
      <w:sz w:val="28"/>
      <w:szCs w:val="28"/>
    </w:rPr>
  </w:style>
  <w:style w:type="character" w:customStyle="1" w:styleId="28">
    <w:name w:val="Body text|1_"/>
    <w:link w:val="29"/>
    <w:qFormat/>
    <w:uiPriority w:val="0"/>
    <w:rPr>
      <w:rFonts w:ascii="宋体" w:hAnsi="宋体" w:cs="宋体"/>
      <w:kern w:val="2"/>
      <w:sz w:val="30"/>
      <w:szCs w:val="30"/>
      <w:lang w:val="zh-TW" w:eastAsia="zh-TW" w:bidi="zh-TW"/>
    </w:rPr>
  </w:style>
  <w:style w:type="paragraph" w:customStyle="1" w:styleId="29">
    <w:name w:val="Body text|1"/>
    <w:basedOn w:val="1"/>
    <w:link w:val="28"/>
    <w:qFormat/>
    <w:uiPriority w:val="0"/>
    <w:pPr>
      <w:spacing w:line="420" w:lineRule="auto"/>
      <w:ind w:firstLine="400"/>
    </w:pPr>
    <w:rPr>
      <w:rFonts w:ascii="宋体" w:hAnsi="宋体" w:eastAsia="宋体" w:cs="宋体"/>
      <w:szCs w:val="30"/>
      <w:lang w:val="zh-TW" w:eastAsia="zh-TW" w:bidi="zh-TW"/>
    </w:rPr>
  </w:style>
  <w:style w:type="paragraph" w:customStyle="1" w:styleId="30">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1">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2">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3">
    <w:name w:val="List Paragraph"/>
    <w:basedOn w:val="1"/>
    <w:qFormat/>
    <w:uiPriority w:val="34"/>
    <w:pPr>
      <w:ind w:firstLine="420" w:firstLineChars="200"/>
    </w:pPr>
    <w:rPr>
      <w:rFonts w:ascii="Calibri" w:hAnsi="Calibri" w:eastAsia="宋体" w:cs="Times New Roman"/>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D870DDC8FF794DE2B025D117474E0142_13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6e732b-c993-4fce-a9aa-bb8415c61e5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18</Pages>
  <Words>8165</Words>
  <Characters>8391</Characters>
  <Lines>56</Lines>
  <Paragraphs>15</Paragraphs>
  <TotalTime>6</TotalTime>
  <ScaleCrop>false</ScaleCrop>
  <LinksUpToDate>false</LinksUpToDate>
  <CharactersWithSpaces>8401</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2025-09-22T04:53:40Z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D870DDC8FF794DE2B025D117474E0142_13</vt:lpwstr>
  </property>
  <property fmtid="{D5CDD505-2E9C-101B-9397-08002B2CF9AE}" pid="4" name="KSOTemplateDocerSaveRecord">
    <vt:lpwstr>eyJoZGlkIjoiYzZkNzQ4ZWFiZmQ4NTRhOWRkZTk3YTMwMjlmMmZhYmUiLCJ1c2VySWQiOiI1NzgxMjU4NDIifQ_x003D__x003D_</vt:lpwstr>
  </property>
</Properties>
</file>