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阿图什市消防救援大队2024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阿图什市消防救援大队始终贯彻落实党中央、国务院、市委、市人民政府研究制定的有关消防救援工作路线、方针、政策、法规和</w:t>
      </w:r>
      <w:r>
        <w:rPr>
          <w:rFonts w:hint="eastAsia" w:ascii="仿宋_GB2312" w:hAnsi="仿宋_GB2312" w:eastAsia="仿宋_GB2312"/>
          <w:sz w:val="32"/>
          <w:lang w:eastAsia="zh-CN"/>
        </w:rPr>
        <w:t>规章制度</w:t>
      </w:r>
      <w:r>
        <w:rPr>
          <w:rFonts w:ascii="仿宋_GB2312" w:hAnsi="仿宋_GB2312" w:eastAsia="仿宋_GB2312"/>
          <w:sz w:val="32"/>
        </w:rPr>
        <w:t>；指导部署、检查督促全县消防安全工作；研究出现的新情况及问题，推进消防安全工作改革，逐步形成合理高效的新机制；掌握、分析信息，以预测社会消防安全情况并研究制定对策；本单位依法管理社会消防安全工作；组织实施消防安全工作，依法进行消防监督和管理；依法监督和管理社会团体、学校及企事业单位消防安全工作；指导县级机关、</w:t>
      </w:r>
      <w:r>
        <w:rPr>
          <w:rFonts w:hint="eastAsia" w:ascii="仿宋_GB2312" w:hAnsi="仿宋_GB2312" w:eastAsia="仿宋_GB2312"/>
          <w:sz w:val="32"/>
          <w:lang w:eastAsia="zh-CN"/>
        </w:rPr>
        <w:t>企业</w:t>
      </w:r>
      <w:r>
        <w:rPr>
          <w:rFonts w:ascii="仿宋_GB2312" w:hAnsi="仿宋_GB2312" w:eastAsia="仿宋_GB2312"/>
          <w:sz w:val="32"/>
        </w:rPr>
        <w:t>、事业单位、保卫组织等消防队伍建设；组织实施自治区、自治州党政领导和重要外宾</w:t>
      </w:r>
      <w:r>
        <w:rPr>
          <w:rFonts w:hint="eastAsia" w:ascii="仿宋_GB2312" w:hAnsi="仿宋_GB2312" w:eastAsia="仿宋_GB2312"/>
          <w:sz w:val="32"/>
          <w:lang w:val="en-US" w:eastAsia="zh-CN"/>
        </w:rPr>
        <w:t>来访</w:t>
      </w:r>
      <w:r>
        <w:rPr>
          <w:rFonts w:ascii="仿宋_GB2312" w:hAnsi="仿宋_GB2312" w:eastAsia="仿宋_GB2312"/>
          <w:sz w:val="32"/>
        </w:rPr>
        <w:t>阿图什市的消防安全工作；组织实施阿图什市重要会议、大型活动期间的消防安全工作；规划、组织实施全市消防知识教育工作；承办县委、县人民政府和自治区消防救援局、自治州消防救援局交办的其他事宜。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阿图什市消防救援大队2024年度，实有人数28人，其中：在职人员28人，减少1人；离休人员0人，增加0人；退休人员0人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阿图什市消防救援大队无下属预算单位，下设3个科室，分别是：兴业路消防救援中队、帕米尔消防救援中队、城南消防中队。</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2024年度收入总计724.39万元，</w:t>
      </w:r>
      <w:r>
        <w:rPr>
          <w:rFonts w:ascii="仿宋_GB2312" w:hAnsi="仿宋_GB2312" w:eastAsia="仿宋_GB2312"/>
          <w:b w:val="0"/>
          <w:sz w:val="32"/>
        </w:rPr>
        <w:t>其中：本年收入合计724.39万元，使用非财政拨款结余（含专用结余）0.00万元，年初结转和结余0.00万元。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2024年度支出总计724.39万元，</w:t>
      </w:r>
      <w:r>
        <w:rPr>
          <w:rFonts w:ascii="仿宋_GB2312" w:hAnsi="仿宋_GB2312" w:eastAsia="仿宋_GB2312"/>
          <w:b w:val="0"/>
          <w:sz w:val="32"/>
        </w:rPr>
        <w:t>其中：本年支出合计724.39万元，结余分配0.00万元，年末结转和结余0.00万元。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收入支出总体与上年相比，减少2.47万元，下降0.34%，主要原因是：由于在职人员减少，人员经费</w:t>
      </w:r>
      <w:r>
        <w:rPr>
          <w:rFonts w:hint="eastAsia" w:ascii="仿宋_GB2312" w:hAnsi="仿宋_GB2312" w:eastAsia="仿宋_GB2312"/>
          <w:b w:val="0"/>
          <w:sz w:val="32"/>
          <w:lang w:eastAsia="zh-CN"/>
        </w:rPr>
        <w:t>减少</w:t>
      </w:r>
      <w:r>
        <w:rPr>
          <w:rFonts w:ascii="仿宋_GB2312" w:hAnsi="仿宋_GB2312" w:eastAsia="仿宋_GB2312"/>
          <w:b w:val="0"/>
          <w:sz w:val="32"/>
        </w:rPr>
        <w:t>，维修维护经费、办公用品购置经费减少。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本年收入724.39万元，</w:t>
      </w:r>
      <w:r>
        <w:rPr>
          <w:rFonts w:ascii="仿宋_GB2312" w:hAnsi="仿宋_GB2312" w:eastAsia="仿宋_GB2312"/>
          <w:b w:val="0"/>
          <w:sz w:val="32"/>
        </w:rPr>
        <w:t>其中：财政拨款收入724.39万元，占100.00%；上级补助收入0.00万元，占0.00%；事业收入0.00万元，占0.00%；经营收入0.00万元，占0.00%；附属单位上缴收入0.00万元，占0.00%；其他收入0.00万元，占0.00%。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本年支出724.39万元，</w:t>
      </w:r>
      <w:r>
        <w:rPr>
          <w:rFonts w:ascii="仿宋_GB2312" w:hAnsi="仿宋_GB2312" w:eastAsia="仿宋_GB2312"/>
          <w:b w:val="0"/>
          <w:sz w:val="32"/>
        </w:rPr>
        <w:t>其中：基本支出595.84万元，占82.25%；项目支出128.55万元，占17.75%；上缴上级支出0.00万元，占0.00%；经营支出0.00万元，占0.00%；对附属单位补助支出0.00万元，占0.00%。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2024年度财政拨款收入总计724.39万元，</w:t>
      </w:r>
      <w:r>
        <w:rPr>
          <w:rFonts w:ascii="仿宋_GB2312" w:hAnsi="仿宋_GB2312" w:eastAsia="仿宋_GB2312"/>
          <w:b w:val="0"/>
          <w:sz w:val="32"/>
        </w:rPr>
        <w:t>其中：年初财政拨款结转和结余0.00万元，本年财政拨款收入724.39万元。</w:t>
      </w:r>
      <w:r>
        <w:rPr>
          <w:rFonts w:ascii="仿宋_GB2312" w:hAnsi="仿宋_GB2312" w:eastAsia="仿宋_GB2312"/>
          <w:b/>
          <w:sz w:val="32"/>
        </w:rPr>
        <w:t>财政拨款支出总计724.39万元，</w:t>
      </w:r>
      <w:r>
        <w:rPr>
          <w:rFonts w:ascii="仿宋_GB2312" w:hAnsi="仿宋_GB2312" w:eastAsia="仿宋_GB2312"/>
          <w:b w:val="0"/>
          <w:sz w:val="32"/>
        </w:rPr>
        <w:t>其中：年末财政拨款结转和结余0.00万元，本年财政拨款支出724.39万元。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减少2.47万元，下降0.34%，主要原因是：由于在职人员减少，人员经费</w:t>
      </w:r>
      <w:r>
        <w:rPr>
          <w:rFonts w:hint="eastAsia" w:ascii="仿宋_GB2312" w:hAnsi="仿宋_GB2312" w:eastAsia="仿宋_GB2312"/>
          <w:b w:val="0"/>
          <w:sz w:val="32"/>
          <w:lang w:eastAsia="zh-CN"/>
        </w:rPr>
        <w:t>减少</w:t>
      </w:r>
      <w:r>
        <w:rPr>
          <w:rFonts w:ascii="仿宋_GB2312" w:hAnsi="仿宋_GB2312" w:eastAsia="仿宋_GB2312"/>
          <w:b w:val="0"/>
          <w:sz w:val="32"/>
        </w:rPr>
        <w:t>，维修维护经费、办公用品购置经费减少。</w:t>
      </w:r>
      <w:r>
        <w:rPr>
          <w:rFonts w:ascii="仿宋_GB2312" w:hAnsi="仿宋_GB2312" w:eastAsia="仿宋_GB2312"/>
          <w:b/>
          <w:sz w:val="32"/>
        </w:rPr>
        <w:t>与年初预算相比，</w:t>
      </w:r>
      <w:r>
        <w:rPr>
          <w:rFonts w:ascii="仿宋_GB2312" w:hAnsi="仿宋_GB2312" w:eastAsia="仿宋_GB2312"/>
          <w:b w:val="0"/>
          <w:sz w:val="32"/>
        </w:rPr>
        <w:t>年初预算数966.11万元，决算数724.39万元，预决算差异率-25.02%，主要原因是：年中调减消防应急救援项目资金，导致预决算存在差异。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2024年度一般公共预算财政拨款支出724.39万元，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减少2.47万元，下降0.34%，主要原因是：在职人员减少，导致人员经费</w:t>
      </w:r>
      <w:r>
        <w:rPr>
          <w:rFonts w:hint="eastAsia" w:ascii="仿宋_GB2312" w:hAnsi="仿宋_GB2312" w:eastAsia="仿宋_GB2312"/>
          <w:b w:val="0"/>
          <w:sz w:val="32"/>
          <w:lang w:eastAsia="zh-CN"/>
        </w:rPr>
        <w:t>减少</w:t>
      </w:r>
      <w:r>
        <w:rPr>
          <w:rFonts w:ascii="仿宋_GB2312" w:hAnsi="仿宋_GB2312" w:eastAsia="仿宋_GB2312"/>
          <w:b w:val="0"/>
          <w:sz w:val="32"/>
        </w:rPr>
        <w:t>，维修维护经费、办公用品购置经费减少。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年初预算数966.11万元，决算数724.39万元，预决算差异率-25.02%，主要原因是：年中调减消防应急救援项目资金，导致预决算存在差异。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1.社会保障和就业支出(类)11.56万元</w:t>
      </w:r>
      <w:r>
        <w:rPr>
          <w:rFonts w:hint="eastAsia" w:ascii="仿宋_GB2312" w:hAnsi="仿宋_GB2312" w:eastAsia="仿宋_GB2312"/>
          <w:b w:val="0"/>
          <w:sz w:val="32"/>
          <w:lang w:eastAsia="zh-CN"/>
        </w:rPr>
        <w:t>，</w:t>
      </w:r>
      <w:r>
        <w:rPr>
          <w:rFonts w:ascii="仿宋_GB2312" w:hAnsi="仿宋_GB2312" w:eastAsia="仿宋_GB2312"/>
          <w:b w:val="0"/>
          <w:sz w:val="32"/>
        </w:rPr>
        <w:t>占1.60%。</w:t>
      </w:r>
    </w:p>
    <w:p>
      <w:pPr>
        <w:spacing w:line="580" w:lineRule="exact"/>
        <w:ind w:firstLine="640"/>
        <w:jc w:val="both"/>
      </w:pPr>
      <w:r>
        <w:rPr>
          <w:rFonts w:ascii="仿宋_GB2312" w:hAnsi="仿宋_GB2312" w:eastAsia="仿宋_GB2312"/>
          <w:b w:val="0"/>
          <w:sz w:val="32"/>
        </w:rPr>
        <w:t>2.卫生健康支出(类)3.80万元</w:t>
      </w:r>
      <w:r>
        <w:rPr>
          <w:rFonts w:hint="eastAsia" w:ascii="仿宋_GB2312" w:hAnsi="仿宋_GB2312" w:eastAsia="仿宋_GB2312"/>
          <w:b w:val="0"/>
          <w:sz w:val="32"/>
          <w:lang w:eastAsia="zh-CN"/>
        </w:rPr>
        <w:t>，</w:t>
      </w:r>
      <w:r>
        <w:rPr>
          <w:rFonts w:ascii="仿宋_GB2312" w:hAnsi="仿宋_GB2312" w:eastAsia="仿宋_GB2312"/>
          <w:b w:val="0"/>
          <w:sz w:val="32"/>
        </w:rPr>
        <w:t>占0.52%。</w:t>
      </w:r>
    </w:p>
    <w:p>
      <w:pPr>
        <w:spacing w:line="580" w:lineRule="exact"/>
        <w:ind w:firstLine="640"/>
        <w:jc w:val="both"/>
      </w:pPr>
      <w:r>
        <w:rPr>
          <w:rFonts w:ascii="仿宋_GB2312" w:hAnsi="仿宋_GB2312" w:eastAsia="仿宋_GB2312"/>
          <w:b w:val="0"/>
          <w:sz w:val="32"/>
        </w:rPr>
        <w:t>3.住房保障支出(类)9.58万元</w:t>
      </w:r>
      <w:r>
        <w:rPr>
          <w:rFonts w:hint="eastAsia" w:ascii="仿宋_GB2312" w:hAnsi="仿宋_GB2312" w:eastAsia="仿宋_GB2312"/>
          <w:b w:val="0"/>
          <w:sz w:val="32"/>
          <w:lang w:eastAsia="zh-CN"/>
        </w:rPr>
        <w:t>，</w:t>
      </w:r>
      <w:r>
        <w:rPr>
          <w:rFonts w:ascii="仿宋_GB2312" w:hAnsi="仿宋_GB2312" w:eastAsia="仿宋_GB2312"/>
          <w:b w:val="0"/>
          <w:sz w:val="32"/>
        </w:rPr>
        <w:t>占1.32%。</w:t>
      </w:r>
    </w:p>
    <w:p>
      <w:pPr>
        <w:spacing w:line="580" w:lineRule="exact"/>
        <w:ind w:firstLine="640"/>
        <w:jc w:val="both"/>
      </w:pPr>
      <w:r>
        <w:rPr>
          <w:rFonts w:ascii="仿宋_GB2312" w:hAnsi="仿宋_GB2312" w:eastAsia="仿宋_GB2312"/>
          <w:b w:val="0"/>
          <w:sz w:val="32"/>
        </w:rPr>
        <w:t>4.灾害防治及应急管理支出(类)699.44万元</w:t>
      </w:r>
      <w:r>
        <w:rPr>
          <w:rFonts w:hint="eastAsia" w:ascii="仿宋_GB2312" w:hAnsi="仿宋_GB2312" w:eastAsia="仿宋_GB2312"/>
          <w:b w:val="0"/>
          <w:sz w:val="32"/>
          <w:lang w:eastAsia="zh-CN"/>
        </w:rPr>
        <w:t>，</w:t>
      </w:r>
      <w:r>
        <w:rPr>
          <w:rFonts w:ascii="仿宋_GB2312" w:hAnsi="仿宋_GB2312" w:eastAsia="仿宋_GB2312"/>
          <w:b w:val="0"/>
          <w:sz w:val="32"/>
        </w:rPr>
        <w:t>占96.56%。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支出决算数为11.56万元，比上年决算增加0.16万元，增长1.40%</w:t>
      </w:r>
      <w:r>
        <w:rPr>
          <w:rFonts w:hint="eastAsia" w:ascii="仿宋_GB2312" w:hAnsi="仿宋_GB2312" w:eastAsia="仿宋_GB2312"/>
          <w:b w:val="0"/>
          <w:sz w:val="32"/>
          <w:lang w:eastAsia="zh-CN"/>
        </w:rPr>
        <w:t>，</w:t>
      </w:r>
      <w:r>
        <w:rPr>
          <w:rFonts w:ascii="仿宋_GB2312" w:hAnsi="仿宋_GB2312" w:eastAsia="仿宋_GB2312"/>
          <w:b w:val="0"/>
          <w:sz w:val="32"/>
        </w:rPr>
        <w:t>主要原因是：人员工资基数调增，养老缴费基数上涨，相应支出增加。</w:t>
      </w:r>
    </w:p>
    <w:p>
      <w:pPr>
        <w:spacing w:line="580" w:lineRule="exact"/>
        <w:ind w:firstLine="640"/>
        <w:jc w:val="both"/>
      </w:pPr>
      <w:r>
        <w:rPr>
          <w:rFonts w:ascii="仿宋_GB2312" w:hAnsi="仿宋_GB2312" w:eastAsia="仿宋_GB2312"/>
          <w:b w:val="0"/>
          <w:sz w:val="32"/>
        </w:rPr>
        <w:t>2.卫生健康支出(类)行政事业单位医疗(款)事业单位医疗(项)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支出决算数为3.80万元，比上年决算增加0.06万元，增长1.60%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3.住房保障支出(类)住房改革支出(款)住房公积金(项)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支出决算数为9.58万元，比上年决算减少0.34万元，下降3.43%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pPr>
        <w:spacing w:line="580" w:lineRule="exact"/>
        <w:ind w:firstLine="640"/>
        <w:jc w:val="both"/>
      </w:pPr>
      <w:r>
        <w:rPr>
          <w:rFonts w:ascii="仿宋_GB2312" w:hAnsi="仿宋_GB2312" w:eastAsia="仿宋_GB2312"/>
          <w:b w:val="0"/>
          <w:sz w:val="32"/>
        </w:rPr>
        <w:t>4.灾害防治及应急管理支出(类)消防救援事务(款)消防应急救援(项)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支出决算数为428.25万元，比上年决算减少177.47万元，下降29.30%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主要原因是：本年减少消防救援专项项目经费，导致经费减少。</w:t>
      </w:r>
    </w:p>
    <w:p>
      <w:pPr>
        <w:spacing w:line="580" w:lineRule="exact"/>
        <w:ind w:firstLine="640"/>
        <w:jc w:val="both"/>
      </w:pPr>
      <w:r>
        <w:rPr>
          <w:rFonts w:ascii="仿宋_GB2312" w:hAnsi="仿宋_GB2312" w:eastAsia="仿宋_GB2312"/>
          <w:b w:val="0"/>
          <w:sz w:val="32"/>
        </w:rPr>
        <w:t>5.灾害防治及应急管理支出(类)消防救援事务(款)其他消防救援事务支出(项)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支出决算数为271.19万元，比上年决算增加175.11万元，增长182.25%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主要原因是：本年支付上年城南消防站体育馆建设项目经费，导致经费增加。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2024年度一般公共预算财政拨款基本支出595.84万元，其中：</w:t>
      </w:r>
      <w:r>
        <w:rPr>
          <w:rFonts w:ascii="仿宋_GB2312" w:hAnsi="仿宋_GB2312" w:eastAsia="仿宋_GB2312"/>
          <w:b/>
          <w:sz w:val="32"/>
        </w:rPr>
        <w:t>人员经费504.30万元，</w:t>
      </w:r>
      <w:r>
        <w:rPr>
          <w:rFonts w:ascii="仿宋_GB2312" w:hAnsi="仿宋_GB2312" w:eastAsia="仿宋_GB2312"/>
          <w:b w:val="0"/>
          <w:sz w:val="32"/>
        </w:rPr>
        <w:t>包括：基本工资、津贴补贴、奖金、伙食补助费、绩效工资、机关事业单位基本养老保险缴费、职工基本医疗保险缴费、其他社会保障缴费、住房公积金。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公用经费91.53万元，</w:t>
      </w:r>
      <w:r>
        <w:rPr>
          <w:rFonts w:ascii="仿宋_GB2312" w:hAnsi="仿宋_GB2312" w:eastAsia="仿宋_GB2312"/>
          <w:b w:val="0"/>
          <w:sz w:val="32"/>
        </w:rPr>
        <w:t>包括：维修（护）费。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2024年度阿图什市消防救援大队（行政单位和参照公务员法管理事业单位）机关运行经费支出91.53万元，比上年减少44.23万元，下降32.58%，主要原因是：本年减少维修（护）费，导致机关运行经费减少。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724.39万元，实际执行总额724.39万元；预算绩效评价项目6个，全年预算数632.75万元，全年执行数185.84万元。预算绩效管理取得的成效：一是本单位以绩效目标实现为导向，加强制度建设，提升预算执行质量，预算绩效管理取得一定成效。预算绩效管理取得的成效，科学制定目标，促进绩效目标顺利实现</w:t>
      </w:r>
      <w:r>
        <w:rPr>
          <w:rFonts w:hint="eastAsia" w:ascii="仿宋_GB2312" w:hAnsi="仿宋_GB2312" w:eastAsia="仿宋_GB2312"/>
          <w:b w:val="0"/>
          <w:sz w:val="32"/>
          <w:lang w:eastAsia="zh-CN"/>
        </w:rPr>
        <w:t>；</w:t>
      </w:r>
      <w:r>
        <w:rPr>
          <w:rFonts w:ascii="仿宋_GB2312" w:hAnsi="仿宋_GB2312" w:eastAsia="仿宋_GB2312"/>
          <w:b w:val="0"/>
          <w:sz w:val="32"/>
        </w:rPr>
        <w:t>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w:t>
      </w:r>
      <w:r>
        <w:rPr>
          <w:rFonts w:hint="eastAsia" w:ascii="仿宋_GB2312" w:hAnsi="仿宋_GB2312" w:eastAsia="仿宋_GB2312"/>
          <w:b w:val="0"/>
          <w:sz w:val="32"/>
          <w:lang w:eastAsia="zh-CN"/>
        </w:rPr>
        <w:t>；</w:t>
      </w:r>
      <w:r>
        <w:rPr>
          <w:rFonts w:ascii="仿宋_GB2312" w:hAnsi="仿宋_GB2312" w:eastAsia="仿宋_GB2312"/>
          <w:b w:val="0"/>
          <w:sz w:val="32"/>
        </w:rPr>
        <w:t>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加强绩效评价管理制度和流程的建设，进一步深化、完善绩效管理体系，建立全过程的预算绩效管理机制，促进绩效管理工作向广度和深度延伸</w:t>
      </w:r>
      <w:r>
        <w:rPr>
          <w:rFonts w:hint="eastAsia" w:ascii="仿宋_GB2312" w:hAnsi="仿宋_GB2312" w:eastAsia="仿宋_GB2312"/>
          <w:b w:val="0"/>
          <w:sz w:val="32"/>
          <w:lang w:eastAsia="zh-CN"/>
        </w:rPr>
        <w:t>；</w:t>
      </w:r>
      <w:r>
        <w:rPr>
          <w:rFonts w:ascii="仿宋_GB2312" w:hAnsi="仿宋_GB2312" w:eastAsia="仿宋_GB2312"/>
          <w:b w:val="0"/>
          <w:sz w:val="32"/>
        </w:rPr>
        <w:t>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9060" w:type="dxa"/>
        <w:tblInd w:w="0" w:type="dxa"/>
        <w:tblLayout w:type="fixed"/>
        <w:tblCellMar>
          <w:top w:w="0" w:type="dxa"/>
          <w:left w:w="108" w:type="dxa"/>
          <w:bottom w:w="0" w:type="dxa"/>
          <w:right w:w="108" w:type="dxa"/>
        </w:tblCellMar>
      </w:tblPr>
      <w:tblGrid>
        <w:gridCol w:w="638"/>
        <w:gridCol w:w="989"/>
        <w:gridCol w:w="1687"/>
        <w:gridCol w:w="1271"/>
        <w:gridCol w:w="1907"/>
        <w:gridCol w:w="763"/>
        <w:gridCol w:w="1201"/>
        <w:gridCol w:w="604"/>
      </w:tblGrid>
      <w:tr>
        <w:tblPrEx>
          <w:tblLayout w:type="fixed"/>
          <w:tblCellMar>
            <w:top w:w="0" w:type="dxa"/>
            <w:left w:w="108" w:type="dxa"/>
            <w:bottom w:w="0" w:type="dxa"/>
            <w:right w:w="108" w:type="dxa"/>
          </w:tblCellMar>
        </w:tblPrEx>
        <w:tc>
          <w:tcPr>
            <w:tcW w:w="906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906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842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阿图什市消防救援大队</w:t>
            </w:r>
          </w:p>
        </w:tc>
      </w:tr>
      <w:tr>
        <w:tblPrEx>
          <w:tblLayout w:type="fixed"/>
          <w:tblCellMar>
            <w:top w:w="0" w:type="dxa"/>
            <w:left w:w="108" w:type="dxa"/>
            <w:bottom w:w="0" w:type="dxa"/>
            <w:right w:w="108" w:type="dxa"/>
          </w:tblCellMar>
        </w:tblPrEx>
        <w:tc>
          <w:tcPr>
            <w:tcW w:w="63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98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6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9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6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966.13</w:t>
            </w:r>
          </w:p>
        </w:tc>
        <w:tc>
          <w:tcPr>
            <w:tcW w:w="12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724.39</w:t>
            </w:r>
          </w:p>
        </w:tc>
        <w:tc>
          <w:tcPr>
            <w:tcW w:w="19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724.39</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63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6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128.55</w:t>
            </w:r>
          </w:p>
        </w:tc>
        <w:tc>
          <w:tcPr>
            <w:tcW w:w="19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128.55</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6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966.13</w:t>
            </w:r>
          </w:p>
        </w:tc>
        <w:tc>
          <w:tcPr>
            <w:tcW w:w="12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595.84</w:t>
            </w:r>
          </w:p>
        </w:tc>
        <w:tc>
          <w:tcPr>
            <w:tcW w:w="19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595.84</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6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9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9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7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9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单位基本职能：负责应急管理工作，指导各乡镇、街道，各部门负责应对安全生产、综合防灾减灾救灾工作。负责安全生产综合监督管理和工矿商贸行业安全生产监督管理工作。组织编制应急体系建设、安全 生产和综合防灾减灾规划，贯彻落实应急管理、安全生产类综合性规章、规范性文件。 </w:t>
            </w:r>
            <w:r>
              <w:rPr>
                <w:rFonts w:ascii="宋体" w:hAnsi="宋体" w:eastAsia="宋体"/>
                <w:sz w:val="16"/>
              </w:rPr>
              <w:br w:type="textWrapping"/>
            </w:r>
            <w:r>
              <w:rPr>
                <w:rFonts w:ascii="宋体" w:hAnsi="宋体" w:eastAsia="宋体"/>
                <w:sz w:val="16"/>
              </w:rPr>
              <w:t xml:space="preserve">机构设置及人员配置：无下属预算单位，下设11个科室，编制数81，实有人数75人，在职75人。 </w:t>
            </w:r>
            <w:r>
              <w:rPr>
                <w:rFonts w:ascii="宋体" w:hAnsi="宋体" w:eastAsia="宋体"/>
                <w:sz w:val="16"/>
              </w:rPr>
              <w:br w:type="textWrapping"/>
            </w:r>
            <w:r>
              <w:rPr>
                <w:rFonts w:ascii="宋体" w:hAnsi="宋体" w:eastAsia="宋体"/>
                <w:sz w:val="16"/>
              </w:rPr>
              <w:t>中长期规划：筑牢安全生产责任体系，全力防控重大安全风险，推进应急管理体系建设，强化应急管理宣传教育，努力营造良好社会氛围。</w:t>
            </w:r>
          </w:p>
        </w:tc>
        <w:tc>
          <w:tcPr>
            <w:tcW w:w="447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724.39万元，用于保障部门在职75人的工资福利、各项补助正常发放及部门单位正常运转，单位预算项目根据年初计划均已完成，筑牢安全生产责任体系，全力防控重大安全风险，推进应急管理体系建设，强化应急管理宣传教育，努力营造良好社会氛围，年度任务中完成开放消防科普教育基地4次/每月等目标。 </w:t>
            </w:r>
          </w:p>
        </w:tc>
      </w:tr>
      <w:tr>
        <w:tblPrEx>
          <w:tblLayout w:type="fixed"/>
          <w:tblCellMar>
            <w:top w:w="0" w:type="dxa"/>
            <w:left w:w="108" w:type="dxa"/>
            <w:bottom w:w="0" w:type="dxa"/>
            <w:right w:w="108" w:type="dxa"/>
          </w:tblCellMar>
        </w:tblPrEx>
        <w:tc>
          <w:tcPr>
            <w:tcW w:w="63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6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2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9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6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消防队员各项补助发放及时率</w:t>
            </w:r>
          </w:p>
        </w:tc>
        <w:tc>
          <w:tcPr>
            <w:tcW w:w="12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2023年工作总结2024年工作计划</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2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63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6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消防器材装备使用率</w:t>
            </w:r>
          </w:p>
        </w:tc>
        <w:tc>
          <w:tcPr>
            <w:tcW w:w="12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2023年工作总结2024年工作计划</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2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63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6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提升灭火救援能力</w:t>
            </w:r>
          </w:p>
        </w:tc>
        <w:tc>
          <w:tcPr>
            <w:tcW w:w="12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2023年工作总结2024年工作计划</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2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63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6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开放消防科普教育基地</w:t>
            </w:r>
          </w:p>
        </w:tc>
        <w:tc>
          <w:tcPr>
            <w:tcW w:w="12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&gt;=4次/每月</w:t>
            </w:r>
          </w:p>
        </w:tc>
        <w:tc>
          <w:tcPr>
            <w:tcW w:w="19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2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4次/每月</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rPr>
          <w:trHeight w:val="984" w:hRule="atLeast"/>
        </w:trPr>
        <w:tc>
          <w:tcPr>
            <w:tcW w:w="63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6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调动消防员指战员的工作积极性</w:t>
            </w:r>
          </w:p>
        </w:tc>
        <w:tc>
          <w:tcPr>
            <w:tcW w:w="12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2023年工作总结2024年工作计划</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2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2024年初预算伙食费项目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阿图什市消防救援大队</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消防救援大队积极履行国家综合性消防救援队承担的重大灾害事故和抢险救援等应急救援工作，本项目投入63.80万元，伙食补助人数38人，46元/人/天，以及保障日常业务工作有序开展，有效保障了辖区群众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本项目共计支出35.25万元，用于伙食补助人数29人，46元/人/天；通过实施本项目保障日常业务工作有序开展，有效保障了辖区群众生命财产安全。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伙食补助人数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原因：因人员数量有变动，因此资金未支付完毕；措施：今后做好项目计划，减少偏差。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338"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原因：全年人数有变动，因此指标未完成；措施：今后做好项目计划，减少偏差。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保障人民群众生命财产安全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65.26分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城南消防站体育馆（地方配套）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阿图什市消防救援大队</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消防救援大队积极履行国家综合性消防救援队承担的重大灾害事故和抢险救援等应急救援工作，本项目投入80万元，采购体育设备器材6批，维修维护期限12个月，以及保障日常业务工作有序开展，有效保障了辖区群众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本项目已完成采购体育设备器材6批，维修维护期限12个月，因联合验收未通过，资金未拨付；通过实施本项目保障日常业务工作有序开展，有效保障了辖区群众生命财产安全。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采购体育器材设备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原因：该项目五方验收合格，联合验收未通过，资金无法支出；措施：加快整改进度，减少项目偏差。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保障部门正常运转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基本业务经费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阿图什市消防救援大队</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根据《研究阿图什市消防救援大队2024年业务经费预算事宜》，安排项目资金393.22万元，主要用于基本业务经费，以及保障日常业务工作有序开展，有效保障了辖区群众生命财产安全。</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本项目共计支出93.5</w:t>
            </w:r>
            <w:r>
              <w:rPr>
                <w:rFonts w:hint="eastAsia" w:ascii="宋体" w:hAnsi="宋体"/>
                <w:sz w:val="16"/>
                <w:lang w:val="en-US" w:eastAsia="zh-CN"/>
              </w:rPr>
              <w:t>8</w:t>
            </w:r>
            <w:r>
              <w:rPr>
                <w:rFonts w:ascii="宋体" w:hAnsi="宋体" w:eastAsia="宋体"/>
                <w:sz w:val="16"/>
              </w:rPr>
              <w:t>万元，用于保障大队运转期限12个月；通过实施本项目保障日常业务工作有序开展，有效保障了辖区群众生命财产安全。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保障大队运转期限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保障日常业务工作有序开展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消防救援人员取暖费项目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阿图什市消防救援大队</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根据《关于研究阿图什市消防救援大队2024年业务经费预算的会议纪要》，安排项目资金6.56万元，用于取暖补助人数46人1426元/人/年以及保障日常业务工作有序开展，有效保障了辖区群众生命财产安全。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本项目共计支出6.14万元，用于取暖补助人数46人1426元/人/年；通过实施本项目保障日常业务工作有序开展，有效保障了辖区群众生命财产安全。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补助足额发放率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&lt;=1426元/人/年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=1426元/人/年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原因：其中有2人不符合发放标准，资金未支付完毕；措施：今后做好项目计划，减少偏差。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保障人民群众生命财产安全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享受补助人员满意度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消防救援人员执勤补助项目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阿图什市消防救援大队</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消防救援大队积极履行国家综合性消防救援队承担的重大灾害事故和抢险救援等应急救援工作，本项目投入71.17万元用于消防队员执勤补助发放，执勤补助人数30人，65元/人/天，保障日常业务工作有序开展，有效保障了辖区群众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本项目共计支出38.47万元，用于消防队员执勤补助发放，执勤补助人数23人，65元/人/天；通过实施本项目保障日常业务工作有序开展，有效保障了辖区群众生命财产安全。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执勤补助人数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原因：全年人数有变动，因此指标未完成；措施：今后做好项目计划，减少偏差。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执勤补助标准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原因：因人员数量有变动，因此资金未支付完毕；措施：今后做好项目计划，减少偏差。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保障人民群众生命财产安全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消防救援人员高危补助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阿图什市消防救援大队</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消防救援大队积极履行国家综合性消防救援队承担的重大灾害事故和抢险救援等应急救援工作，本项目投入18万元用于消防队员高危补助发放，高危补助人数30人，500元/人/月，保障日常业务工作有序开展，有效保障了辖区群众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本项目共计支出12.4万元，用于消防队员高危补助发放，高危补助人数21人，500元/人/月；通过实施本项目保障日常业务工作有序开展，有效保障了辖区群众生命财产安全。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高危补助人数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原因：全年人数有变动，因此指标未完成；措施：今后做好项目计划，减少偏差。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原因：因人员数量有变动，因此资金未支付完毕；措施：今后做好项目计划，减少偏差。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原因：因人员数量有变动，因此资金未支付完毕；措施：今后做好项目计划，减少偏差。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原因：因人员数量有变动，因此资金未支付完毕；措施：今后做好项目计划，减少偏差。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高危补助标准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原因：因人员数量有变动，因此资金未支付完毕；措施：今后做好项目计划，减少偏差。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保障人民群众生命财产安全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hint="eastAsia" w:ascii="仿宋_GB2312" w:hAnsi="仿宋_GB2312" w:eastAsia="仿宋_GB2312"/>
          <w:b w:val="0"/>
          <w:sz w:val="32"/>
        </w:rPr>
        <w:t>本单位2024年度无政府采购支出，授予中小企业合同金额0.00万元</w:t>
      </w:r>
      <w:r>
        <w:rPr>
          <w:rFonts w:ascii="仿宋_GB2312" w:hAnsi="仿宋_GB2312" w:eastAsia="仿宋_GB2312"/>
          <w:b w:val="0"/>
          <w:sz w:val="32"/>
        </w:rPr>
        <w:t>。</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w:t>
      </w:r>
      <w:bookmarkStart w:id="0" w:name="_GoBack"/>
      <w:bookmarkEnd w:id="0"/>
      <w:r>
        <w:rPr>
          <w:rFonts w:ascii="仿宋_GB2312" w:hAnsi="仿宋_GB2312" w:eastAsia="仿宋_GB2312"/>
          <w:b w:val="0"/>
          <w:sz w:val="32"/>
        </w:rPr>
        <w:t>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91E6B0A-4EBA-4683-BC0A-BC16C5C1F6C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C2AD164E-7A2C-403E-9158-D3F89A746042}"/>
  </w:font>
  <w:font w:name="仿宋_GB2312">
    <w:panose1 w:val="02010609030101010101"/>
    <w:charset w:val="86"/>
    <w:family w:val="modern"/>
    <w:pitch w:val="default"/>
    <w:sig w:usb0="00000001" w:usb1="080E0000" w:usb2="00000000" w:usb3="00000000" w:csb0="00040000" w:csb1="00000000"/>
    <w:embedRegular r:id="rId3" w:fontKey="{9FEB2992-AD30-463A-914A-683520DCD3D0}"/>
  </w:font>
  <w:font w:name="楷体_GB2312">
    <w:panose1 w:val="02010609030101010101"/>
    <w:charset w:val="86"/>
    <w:family w:val="auto"/>
    <w:pitch w:val="default"/>
    <w:sig w:usb0="00000001" w:usb1="080E0000" w:usb2="00000000" w:usb3="00000000" w:csb0="00040000" w:csb1="00000000"/>
    <w:embedRegular r:id="rId4" w:fontKey="{507A3555-4247-414C-AA37-A55E0A9A358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0843EF"/>
    <w:rsid w:val="06792773"/>
    <w:rsid w:val="09A729D8"/>
    <w:rsid w:val="0A3C58E8"/>
    <w:rsid w:val="0A7B4867"/>
    <w:rsid w:val="0B8C3ECC"/>
    <w:rsid w:val="0C3613A3"/>
    <w:rsid w:val="0C7227A7"/>
    <w:rsid w:val="0DCA6EF7"/>
    <w:rsid w:val="0E4B1576"/>
    <w:rsid w:val="0EA04331"/>
    <w:rsid w:val="0F9811B3"/>
    <w:rsid w:val="11E15093"/>
    <w:rsid w:val="120E0809"/>
    <w:rsid w:val="177D574E"/>
    <w:rsid w:val="19071D6C"/>
    <w:rsid w:val="19B5554D"/>
    <w:rsid w:val="1B8F2D19"/>
    <w:rsid w:val="1C317E4F"/>
    <w:rsid w:val="1C472464"/>
    <w:rsid w:val="1DAF458D"/>
    <w:rsid w:val="1E086ACE"/>
    <w:rsid w:val="1E4B5CA5"/>
    <w:rsid w:val="1EAA4A5F"/>
    <w:rsid w:val="1F587A0B"/>
    <w:rsid w:val="2064678E"/>
    <w:rsid w:val="208F0BE2"/>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51188D"/>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451473"/>
    <w:rsid w:val="76660D7C"/>
    <w:rsid w:val="77ED6F44"/>
    <w:rsid w:val="795A0A34"/>
    <w:rsid w:val="7A0D3BC7"/>
    <w:rsid w:val="7A3A3CDB"/>
    <w:rsid w:val="7BB260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5987</Words>
  <Characters>6862</Characters>
  <Lines>0</Lines>
  <Paragraphs>0</Paragraphs>
  <TotalTime>13</TotalTime>
  <ScaleCrop>false</ScaleCrop>
  <LinksUpToDate>false</LinksUpToDate>
  <CharactersWithSpaces>6877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2025-09-18T04:08:24Z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