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C5F670F">
      <w:r>
        <w:br w:type="page"/>
      </w:r>
    </w:p>
    <w:p w14:paraId="72B598C3">
      <w:pPr>
        <w:spacing w:line="640" w:lineRule="exact"/>
        <w:jc w:val="center"/>
        <w:outlineLvl w:val="1"/>
      </w:pPr>
      <w:r>
        <w:rPr>
          <w:rFonts w:ascii="黑体" w:hAnsi="黑体" w:eastAsia="黑体"/>
          <w:sz w:val="32"/>
        </w:rPr>
        <w:t>第一部分 单位概况</w:t>
      </w:r>
    </w:p>
    <w:p w14:paraId="2728C440">
      <w:pPr>
        <w:spacing w:line="640" w:lineRule="exact"/>
        <w:ind w:firstLine="640"/>
        <w:jc w:val="both"/>
        <w:outlineLvl w:val="2"/>
      </w:pPr>
      <w:r>
        <w:rPr>
          <w:rFonts w:ascii="黑体" w:hAnsi="黑体" w:eastAsia="黑体"/>
          <w:sz w:val="32"/>
        </w:rPr>
        <w:t>一、主要职能</w:t>
      </w:r>
    </w:p>
    <w:p w14:paraId="10214D94">
      <w:pPr>
        <w:spacing w:line="580" w:lineRule="exact"/>
        <w:ind w:firstLine="640"/>
        <w:jc w:val="both"/>
      </w:pPr>
      <w:r>
        <w:rPr>
          <w:rFonts w:ascii="仿宋_GB2312" w:hAnsi="仿宋_GB2312" w:eastAsia="仿宋_GB2312"/>
          <w:sz w:val="32"/>
        </w:rPr>
        <w:t>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科技知识</w:t>
      </w:r>
      <w:r>
        <w:rPr>
          <w:rFonts w:ascii="仿宋_GB2312" w:hAnsi="仿宋_GB2312" w:eastAsia="仿宋_GB2312"/>
          <w:sz w:val="32"/>
        </w:rPr>
        <w:t>和农民致富信息，组织落实节目</w:t>
      </w:r>
      <w:r>
        <w:rPr>
          <w:rFonts w:hint="eastAsia" w:ascii="仿宋_GB2312" w:hAnsi="仿宋_GB2312" w:eastAsia="仿宋_GB2312"/>
          <w:sz w:val="32"/>
          <w:lang w:eastAsia="zh-CN"/>
        </w:rPr>
        <w:t>播出</w:t>
      </w:r>
      <w:r>
        <w:rPr>
          <w:rFonts w:ascii="仿宋_GB2312" w:hAnsi="仿宋_GB2312" w:eastAsia="仿宋_GB2312"/>
          <w:sz w:val="32"/>
        </w:rPr>
        <w:t>，维护广播设备，保证</w:t>
      </w:r>
      <w:r>
        <w:rPr>
          <w:rFonts w:hint="eastAsia" w:ascii="仿宋_GB2312" w:hAnsi="仿宋_GB2312" w:eastAsia="仿宋_GB2312"/>
          <w:sz w:val="32"/>
          <w:lang w:eastAsia="zh-CN"/>
        </w:rPr>
        <w:t>设备</w:t>
      </w:r>
      <w:r>
        <w:rPr>
          <w:rFonts w:ascii="仿宋_GB2312" w:hAnsi="仿宋_GB2312" w:eastAsia="仿宋_GB2312"/>
          <w:sz w:val="32"/>
        </w:rPr>
        <w:t>运行良好，保证广播</w:t>
      </w:r>
      <w:r>
        <w:rPr>
          <w:rFonts w:hint="eastAsia" w:ascii="仿宋_GB2312" w:hAnsi="仿宋_GB2312" w:eastAsia="仿宋_GB2312"/>
          <w:sz w:val="32"/>
          <w:lang w:eastAsia="zh-CN"/>
        </w:rPr>
        <w:t>工作</w:t>
      </w:r>
      <w:r>
        <w:rPr>
          <w:rFonts w:ascii="仿宋_GB2312" w:hAnsi="仿宋_GB2312" w:eastAsia="仿宋_GB2312"/>
          <w:sz w:val="32"/>
        </w:rPr>
        <w:t>正常进行。完成上级业务主管部门和乡镇党委、政府安排的各项工作。</w:t>
      </w:r>
    </w:p>
    <w:p w14:paraId="2E3D44FD">
      <w:pPr>
        <w:spacing w:line="640" w:lineRule="exact"/>
        <w:ind w:firstLine="640"/>
        <w:jc w:val="both"/>
        <w:outlineLvl w:val="2"/>
      </w:pPr>
      <w:r>
        <w:rPr>
          <w:rFonts w:ascii="黑体" w:hAnsi="黑体" w:eastAsia="黑体"/>
          <w:sz w:val="32"/>
        </w:rPr>
        <w:t>二、机构设置及人员情况</w:t>
      </w:r>
    </w:p>
    <w:p w14:paraId="4BAAB946">
      <w:pPr>
        <w:spacing w:line="580" w:lineRule="exact"/>
        <w:ind w:firstLine="640"/>
        <w:jc w:val="both"/>
      </w:pPr>
      <w:r>
        <w:rPr>
          <w:rFonts w:ascii="仿宋_GB2312" w:hAnsi="仿宋_GB2312" w:eastAsia="仿宋_GB2312"/>
          <w:sz w:val="32"/>
        </w:rPr>
        <w:t>阿图什市阿湖乡文体广电旅游服务中心2024年度，实有人数18人，其中：在职人员14人，减少1人；离休人员0人，增加0人；退休人员4人,增加0人。</w:t>
      </w:r>
    </w:p>
    <w:p w14:paraId="6A5DE679">
      <w:pPr>
        <w:spacing w:line="580" w:lineRule="exact"/>
        <w:ind w:firstLine="640"/>
        <w:jc w:val="both"/>
      </w:pPr>
      <w:r>
        <w:rPr>
          <w:rFonts w:ascii="仿宋_GB2312" w:hAnsi="仿宋_GB2312" w:eastAsia="仿宋_GB2312"/>
          <w:sz w:val="32"/>
        </w:rPr>
        <w:t>阿图什市阿湖乡文体广电旅游服务中心无下属预算单位，下设3个科室，分别是：站长室、广播室、文化室。</w:t>
      </w:r>
    </w:p>
    <w:p w14:paraId="7CAC25CB">
      <w:r>
        <w:br w:type="page"/>
      </w:r>
    </w:p>
    <w:p w14:paraId="3CE81843">
      <w:pPr>
        <w:spacing w:line="240" w:lineRule="auto"/>
        <w:jc w:val="center"/>
        <w:outlineLvl w:val="1"/>
      </w:pPr>
      <w:r>
        <w:rPr>
          <w:rFonts w:ascii="黑体" w:hAnsi="黑体" w:eastAsia="黑体"/>
          <w:sz w:val="32"/>
        </w:rPr>
        <w:t>第二部分 部门决算情况说明</w:t>
      </w:r>
    </w:p>
    <w:p w14:paraId="385DB4EA">
      <w:pPr>
        <w:spacing w:line="640" w:lineRule="exact"/>
        <w:ind w:firstLine="640"/>
        <w:jc w:val="both"/>
        <w:outlineLvl w:val="2"/>
      </w:pPr>
      <w:r>
        <w:rPr>
          <w:rFonts w:ascii="黑体" w:hAnsi="黑体" w:eastAsia="黑体"/>
          <w:sz w:val="32"/>
        </w:rPr>
        <w:t>一、收入支出决算总体情况说明</w:t>
      </w:r>
    </w:p>
    <w:p w14:paraId="6DD3BEFC">
      <w:pPr>
        <w:spacing w:line="580" w:lineRule="exact"/>
        <w:ind w:firstLine="640"/>
        <w:jc w:val="both"/>
      </w:pPr>
      <w:r>
        <w:rPr>
          <w:rFonts w:ascii="仿宋_GB2312" w:hAnsi="仿宋_GB2312" w:eastAsia="仿宋_GB2312"/>
          <w:b/>
          <w:sz w:val="32"/>
        </w:rPr>
        <w:t>2024年度收入总计232.73万元，</w:t>
      </w:r>
      <w:r>
        <w:rPr>
          <w:rFonts w:ascii="仿宋_GB2312" w:hAnsi="仿宋_GB2312" w:eastAsia="仿宋_GB2312"/>
          <w:b w:val="0"/>
          <w:sz w:val="32"/>
        </w:rPr>
        <w:t>其中：本年收入合计232.73万元，使用非财政拨款结余（含专用结余）0.00万元，年初结转和结余0.00万元。</w:t>
      </w:r>
    </w:p>
    <w:p w14:paraId="0722FAF1">
      <w:pPr>
        <w:spacing w:line="580" w:lineRule="exact"/>
        <w:ind w:firstLine="640"/>
        <w:jc w:val="both"/>
      </w:pPr>
      <w:r>
        <w:rPr>
          <w:rFonts w:ascii="仿宋_GB2312" w:hAnsi="仿宋_GB2312" w:eastAsia="仿宋_GB2312"/>
          <w:b/>
          <w:sz w:val="32"/>
        </w:rPr>
        <w:t>2024年度支出总计232.73万元，</w:t>
      </w:r>
      <w:r>
        <w:rPr>
          <w:rFonts w:ascii="仿宋_GB2312" w:hAnsi="仿宋_GB2312" w:eastAsia="仿宋_GB2312"/>
          <w:b w:val="0"/>
          <w:sz w:val="32"/>
        </w:rPr>
        <w:t>其中：本年支出合计232.73万元，结余分配0.00万元，年末结转和结余0.00万元。</w:t>
      </w:r>
    </w:p>
    <w:p w14:paraId="58235513">
      <w:pPr>
        <w:spacing w:line="580" w:lineRule="exact"/>
        <w:ind w:firstLine="640"/>
        <w:jc w:val="both"/>
      </w:pPr>
      <w:r>
        <w:rPr>
          <w:rFonts w:ascii="仿宋_GB2312" w:hAnsi="仿宋_GB2312" w:eastAsia="仿宋_GB2312"/>
          <w:b w:val="0"/>
          <w:sz w:val="32"/>
        </w:rPr>
        <w:t>收入支出总体与上年相比，减少14.58万元，下降5.90%，主要原因是：本年在职人员减少，相关人员经费较上年减少。</w:t>
      </w:r>
    </w:p>
    <w:p w14:paraId="3C895B6E">
      <w:pPr>
        <w:spacing w:line="640" w:lineRule="exact"/>
        <w:ind w:firstLine="640"/>
        <w:jc w:val="both"/>
        <w:outlineLvl w:val="2"/>
      </w:pPr>
      <w:r>
        <w:rPr>
          <w:rFonts w:ascii="黑体" w:hAnsi="黑体" w:eastAsia="黑体"/>
          <w:sz w:val="32"/>
        </w:rPr>
        <w:t>二、收入决算情况说明</w:t>
      </w:r>
    </w:p>
    <w:p w14:paraId="0BB31EB7">
      <w:pPr>
        <w:spacing w:line="580" w:lineRule="exact"/>
        <w:ind w:firstLine="640"/>
        <w:jc w:val="both"/>
      </w:pPr>
      <w:r>
        <w:rPr>
          <w:rFonts w:ascii="仿宋_GB2312" w:hAnsi="仿宋_GB2312" w:eastAsia="仿宋_GB2312"/>
          <w:b/>
          <w:sz w:val="32"/>
        </w:rPr>
        <w:t>本年收入232.73万元，</w:t>
      </w:r>
      <w:r>
        <w:rPr>
          <w:rFonts w:ascii="仿宋_GB2312" w:hAnsi="仿宋_GB2312" w:eastAsia="仿宋_GB2312"/>
          <w:b w:val="0"/>
          <w:sz w:val="32"/>
        </w:rPr>
        <w:t>其中：财政拨款收入232.73万元，占100.00%；上级补助收入0.00万元，占0.00%；事业收入0.00万元，占0.00%；经营收入0.00万元，占0.00%；附属单位上缴收入0.00万元，占0.00%；其他收入0.00万元，占0.00%。</w:t>
      </w:r>
    </w:p>
    <w:p w14:paraId="5303EB7D">
      <w:pPr>
        <w:spacing w:line="640" w:lineRule="exact"/>
        <w:ind w:firstLine="640"/>
        <w:jc w:val="both"/>
        <w:outlineLvl w:val="2"/>
      </w:pPr>
      <w:r>
        <w:rPr>
          <w:rFonts w:ascii="黑体" w:hAnsi="黑体" w:eastAsia="黑体"/>
          <w:sz w:val="32"/>
        </w:rPr>
        <w:t>三、支出决算情况说明</w:t>
      </w:r>
    </w:p>
    <w:p w14:paraId="4D95F0EE">
      <w:pPr>
        <w:spacing w:line="580" w:lineRule="exact"/>
        <w:ind w:firstLine="640"/>
        <w:jc w:val="both"/>
      </w:pPr>
      <w:r>
        <w:rPr>
          <w:rFonts w:ascii="仿宋_GB2312" w:hAnsi="仿宋_GB2312" w:eastAsia="仿宋_GB2312"/>
          <w:b/>
          <w:sz w:val="32"/>
        </w:rPr>
        <w:t>本年支出232.73万元，</w:t>
      </w:r>
      <w:r>
        <w:rPr>
          <w:rFonts w:ascii="仿宋_GB2312" w:hAnsi="仿宋_GB2312" w:eastAsia="仿宋_GB2312"/>
          <w:b w:val="0"/>
          <w:sz w:val="32"/>
        </w:rPr>
        <w:t>其中：基本支出232.73万元，占100.00%；项目支出0.00万元，占0.00%；上缴上级支出0.00万元，占0.00%；经营支出0.00万元，占0.00%；对附属单位补助支出0.00万元，占0.00%。</w:t>
      </w:r>
    </w:p>
    <w:p w14:paraId="45CDABCE">
      <w:pPr>
        <w:spacing w:line="640" w:lineRule="exact"/>
        <w:ind w:firstLine="640"/>
        <w:jc w:val="both"/>
        <w:outlineLvl w:val="2"/>
      </w:pPr>
      <w:r>
        <w:rPr>
          <w:rFonts w:ascii="黑体" w:hAnsi="黑体" w:eastAsia="黑体"/>
          <w:sz w:val="32"/>
        </w:rPr>
        <w:t>四、财政拨款收入支出决算总体情况说明</w:t>
      </w:r>
    </w:p>
    <w:p w14:paraId="5DDD3985">
      <w:pPr>
        <w:spacing w:line="580" w:lineRule="exact"/>
        <w:ind w:firstLine="640"/>
        <w:jc w:val="both"/>
      </w:pPr>
      <w:r>
        <w:rPr>
          <w:rFonts w:ascii="仿宋_GB2312" w:hAnsi="仿宋_GB2312" w:eastAsia="仿宋_GB2312"/>
          <w:b/>
          <w:sz w:val="32"/>
        </w:rPr>
        <w:t>2024年度财政拨款收入总计232.73万元，</w:t>
      </w:r>
      <w:r>
        <w:rPr>
          <w:rFonts w:ascii="仿宋_GB2312" w:hAnsi="仿宋_GB2312" w:eastAsia="仿宋_GB2312"/>
          <w:b w:val="0"/>
          <w:sz w:val="32"/>
        </w:rPr>
        <w:t>其中：年初财政拨款结转和结余0.00万元，本年财政拨款收入232.73万元。</w:t>
      </w:r>
      <w:r>
        <w:rPr>
          <w:rFonts w:ascii="仿宋_GB2312" w:hAnsi="仿宋_GB2312" w:eastAsia="仿宋_GB2312"/>
          <w:b/>
          <w:sz w:val="32"/>
        </w:rPr>
        <w:t>财政拨款支出总计232.73万元，</w:t>
      </w:r>
      <w:r>
        <w:rPr>
          <w:rFonts w:ascii="仿宋_GB2312" w:hAnsi="仿宋_GB2312" w:eastAsia="仿宋_GB2312"/>
          <w:b w:val="0"/>
          <w:sz w:val="32"/>
        </w:rPr>
        <w:t>其中：年末财政拨款结转和结余0.00万元，本年财政拨款支出232.73万元。</w:t>
      </w:r>
    </w:p>
    <w:p w14:paraId="36E199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减少14.58万元，下降5.90%，主要原因是：本年在职人员减少，相关人员经费较上年减少。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年初预算数250.72万元，决算数232.73万元，预决算差异率-7.18%，主要原因是：本年在职人员减少，年中调减人员经费，导致预决算存在差异。</w:t>
      </w:r>
    </w:p>
    <w:p w14:paraId="3F3104D9">
      <w:pPr>
        <w:spacing w:line="640" w:lineRule="exact"/>
        <w:ind w:firstLine="640"/>
        <w:jc w:val="both"/>
        <w:outlineLvl w:val="2"/>
      </w:pPr>
      <w:r>
        <w:rPr>
          <w:rFonts w:ascii="黑体" w:hAnsi="黑体" w:eastAsia="黑体"/>
          <w:sz w:val="32"/>
        </w:rPr>
        <w:t>五、一般公共预算财政拨款支出决算情况说明</w:t>
      </w:r>
    </w:p>
    <w:p w14:paraId="6BC2124B">
      <w:pPr>
        <w:spacing w:line="640" w:lineRule="exact"/>
        <w:ind w:firstLine="640"/>
        <w:jc w:val="both"/>
        <w:outlineLvl w:val="3"/>
      </w:pPr>
      <w:r>
        <w:rPr>
          <w:rFonts w:ascii="楷体_GB2312" w:hAnsi="楷体_GB2312" w:eastAsia="楷体_GB2312"/>
          <w:b/>
          <w:sz w:val="32"/>
        </w:rPr>
        <w:t>（一）一般公共预算财政拨款支出决算总体情况</w:t>
      </w:r>
    </w:p>
    <w:p w14:paraId="73C91380">
      <w:pPr>
        <w:spacing w:line="580" w:lineRule="exact"/>
        <w:ind w:firstLine="640"/>
        <w:jc w:val="both"/>
      </w:pPr>
      <w:r>
        <w:rPr>
          <w:rFonts w:ascii="仿宋_GB2312" w:hAnsi="仿宋_GB2312" w:eastAsia="仿宋_GB2312"/>
          <w:b/>
          <w:sz w:val="32"/>
        </w:rPr>
        <w:t>2024年度一般公共预算财政拨款支出232.73万元，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减少14.58万元，下降5.90%，主要原因是：本年在职人员减少，相关人员经费较上年减少。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年初预算数250.72万元，决算数232.73万元，预决算差异率-7.18%，主要原因是：本年在职人员减少，年中调减人员经费，导致预决算存在差异。</w:t>
      </w:r>
    </w:p>
    <w:p w14:paraId="2ECF9EB2">
      <w:pPr>
        <w:spacing w:line="640" w:lineRule="exact"/>
        <w:ind w:firstLine="640"/>
        <w:jc w:val="both"/>
        <w:outlineLvl w:val="3"/>
      </w:pPr>
      <w:r>
        <w:rPr>
          <w:rFonts w:ascii="楷体_GB2312" w:hAnsi="楷体_GB2312" w:eastAsia="楷体_GB2312"/>
          <w:b/>
          <w:sz w:val="32"/>
        </w:rPr>
        <w:t>（二）一般公共预算财政拨款支出决算结构情况</w:t>
      </w:r>
    </w:p>
    <w:p w14:paraId="540ADA1F">
      <w:pPr>
        <w:spacing w:line="580" w:lineRule="exact"/>
        <w:ind w:firstLine="640"/>
        <w:jc w:val="both"/>
      </w:pPr>
      <w:r>
        <w:rPr>
          <w:rFonts w:ascii="仿宋_GB2312" w:hAnsi="仿宋_GB2312" w:eastAsia="仿宋_GB2312"/>
          <w:b w:val="0"/>
          <w:sz w:val="32"/>
        </w:rPr>
        <w:t>1.文化旅游体育与传媒支出(类)180.94万元,占77.75%。</w:t>
      </w:r>
    </w:p>
    <w:p w14:paraId="73AE07A5">
      <w:pPr>
        <w:spacing w:line="580" w:lineRule="exact"/>
        <w:ind w:firstLine="640"/>
        <w:jc w:val="both"/>
      </w:pPr>
      <w:r>
        <w:rPr>
          <w:rFonts w:ascii="仿宋_GB2312" w:hAnsi="仿宋_GB2312" w:eastAsia="仿宋_GB2312"/>
          <w:b w:val="0"/>
          <w:sz w:val="32"/>
        </w:rPr>
        <w:t>2.社会保障和就业支出(类)27.06万元,占11.63%。</w:t>
      </w:r>
    </w:p>
    <w:p w14:paraId="5F92020E">
      <w:pPr>
        <w:spacing w:line="580" w:lineRule="exact"/>
        <w:ind w:firstLine="640"/>
        <w:jc w:val="both"/>
      </w:pPr>
      <w:r>
        <w:rPr>
          <w:rFonts w:ascii="仿宋_GB2312" w:hAnsi="仿宋_GB2312" w:eastAsia="仿宋_GB2312"/>
          <w:b w:val="0"/>
          <w:sz w:val="32"/>
        </w:rPr>
        <w:t>3.卫生健康支出(类)7.12万元,占3.06%。</w:t>
      </w:r>
    </w:p>
    <w:p w14:paraId="136E8BDB">
      <w:pPr>
        <w:spacing w:line="580" w:lineRule="exact"/>
        <w:ind w:firstLine="640"/>
        <w:jc w:val="both"/>
      </w:pPr>
      <w:r>
        <w:rPr>
          <w:rFonts w:ascii="仿宋_GB2312" w:hAnsi="仿宋_GB2312" w:eastAsia="仿宋_GB2312"/>
          <w:b w:val="0"/>
          <w:sz w:val="32"/>
        </w:rPr>
        <w:t>4.住房保障支出(类)17.62万元,占7.57%。</w:t>
      </w:r>
    </w:p>
    <w:p w14:paraId="0AEBC5F0">
      <w:pPr>
        <w:spacing w:line="640" w:lineRule="exact"/>
        <w:ind w:firstLine="640"/>
        <w:jc w:val="both"/>
        <w:outlineLvl w:val="3"/>
      </w:pPr>
      <w:r>
        <w:rPr>
          <w:rFonts w:ascii="楷体_GB2312" w:hAnsi="楷体_GB2312" w:eastAsia="楷体_GB2312"/>
          <w:b/>
          <w:sz w:val="32"/>
        </w:rPr>
        <w:t>（三）一般公共预算财政拨款支出决算具体情况</w:t>
      </w:r>
    </w:p>
    <w:p w14:paraId="1E120D40">
      <w:pPr>
        <w:spacing w:line="580" w:lineRule="exact"/>
        <w:ind w:firstLine="640"/>
        <w:jc w:val="both"/>
      </w:pPr>
      <w:r>
        <w:rPr>
          <w:rFonts w:ascii="仿宋_GB2312" w:hAnsi="仿宋_GB2312" w:eastAsia="仿宋_GB2312"/>
          <w:b w:val="0"/>
          <w:sz w:val="32"/>
        </w:rPr>
        <w:t>1.文化旅游体育与传媒支出(类)广播电视(款)其他广播电视支出(项):支出决算数为180.94万元，比上年决算减少10.29万元，下降5.38%,主要原因是：本年在职人员减少，相关人员经费较上年减少。</w:t>
      </w:r>
    </w:p>
    <w:p w14:paraId="0D5300C1">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2.社会保障和就业支出(类)行政事业单位养老支出(款)事业单位离退休(项):支出决算数为4.72万元，比上年决算增加3.87万元，增长455.29%,主要原因是：本年增加退休人员基础绩效奖，退休费支出增加。</w:t>
      </w:r>
    </w:p>
    <w:p w14:paraId="1EE8585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22.34万元，比上年决算增加1.49万元，增长7.15%,主要原因是：本年在职人员工资基数调增，养老缴费基数上涨，相应支出增加。</w:t>
      </w:r>
    </w:p>
    <w:p w14:paraId="5420D228">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4.社会保障和就业支出(类)行政事业单位养老支出(款)机关事业单位职业年金缴费支出(项):支出决算数为0.00万元，比上年决算减少4.76万元，下降100.00%,主要原因是：本年无新增退休人员，无职业年金支出。</w:t>
      </w:r>
    </w:p>
    <w:p w14:paraId="020122AE">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5.社会保障和就业支出(类)抚恤(款)死亡抚恤(项):支出决算数为0.00万元，比上年决算减少5.58万元，下降100.00%,主要原因是：本年无新增</w:t>
      </w:r>
      <w:r>
        <w:rPr>
          <w:rFonts w:hint="eastAsia" w:ascii="仿宋_GB2312" w:hAnsi="仿宋_GB2312" w:eastAsia="仿宋_GB2312"/>
          <w:b w:val="0"/>
          <w:sz w:val="32"/>
          <w:lang w:eastAsia="zh-CN"/>
        </w:rPr>
        <w:t>离世</w:t>
      </w:r>
      <w:r>
        <w:rPr>
          <w:rFonts w:ascii="仿宋_GB2312" w:hAnsi="仿宋_GB2312" w:eastAsia="仿宋_GB2312"/>
          <w:b w:val="0"/>
          <w:sz w:val="32"/>
        </w:rPr>
        <w:t>人员，抚恤</w:t>
      </w:r>
      <w:r>
        <w:rPr>
          <w:rFonts w:hint="eastAsia" w:ascii="仿宋_GB2312" w:hAnsi="仿宋_GB2312" w:eastAsia="仿宋_GB2312"/>
          <w:b w:val="0"/>
          <w:sz w:val="32"/>
          <w:lang w:eastAsia="zh-CN"/>
        </w:rPr>
        <w:t>金</w:t>
      </w:r>
      <w:bookmarkStart w:id="0" w:name="_GoBack"/>
      <w:bookmarkEnd w:id="0"/>
      <w:r>
        <w:rPr>
          <w:rFonts w:ascii="仿宋_GB2312" w:hAnsi="仿宋_GB2312" w:eastAsia="仿宋_GB2312"/>
          <w:b w:val="0"/>
          <w:sz w:val="32"/>
        </w:rPr>
        <w:t>支出较上年减少。</w:t>
      </w:r>
    </w:p>
    <w:p w14:paraId="15B7EB57">
      <w:pPr>
        <w:spacing w:line="580" w:lineRule="exact"/>
        <w:ind w:firstLine="640"/>
        <w:jc w:val="both"/>
      </w:pPr>
      <w:r>
        <w:rPr>
          <w:rFonts w:ascii="仿宋_GB2312" w:hAnsi="仿宋_GB2312" w:eastAsia="仿宋_GB2312"/>
          <w:b w:val="0"/>
          <w:sz w:val="32"/>
        </w:rPr>
        <w:t>6.卫生健康支出(类)行政事业单位医疗(款)事业单位医疗(项):支出决算数为7.12万元，比上年决算增加0.71万元，增长11.08%,主要原因是：本年在职人员工资基数调增，医疗缴费基数上涨，相应支出增加。</w:t>
      </w:r>
    </w:p>
    <w:p w14:paraId="11D16CCF">
      <w:pPr>
        <w:spacing w:line="580" w:lineRule="exact"/>
        <w:ind w:firstLine="640"/>
        <w:jc w:val="both"/>
      </w:pPr>
      <w:r>
        <w:rPr>
          <w:rFonts w:ascii="仿宋_GB2312" w:hAnsi="仿宋_GB2312" w:eastAsia="仿宋_GB2312"/>
          <w:b w:val="0"/>
          <w:sz w:val="32"/>
        </w:rPr>
        <w:t>7.住房保障支出(类)住房改革支出(款)住房公积金(项):支出决算数为17.62万元，比上年决算减少0.02万元，下降0.11%,主要原因是：本年在职人员减少，住房公积金缴费较上年减少。</w:t>
      </w:r>
    </w:p>
    <w:p w14:paraId="02FA38C2">
      <w:pPr>
        <w:spacing w:line="640" w:lineRule="exact"/>
        <w:ind w:firstLine="640"/>
        <w:jc w:val="both"/>
        <w:outlineLvl w:val="2"/>
      </w:pPr>
      <w:r>
        <w:rPr>
          <w:rFonts w:ascii="黑体" w:hAnsi="黑体" w:eastAsia="黑体"/>
          <w:sz w:val="32"/>
        </w:rPr>
        <w:t>六、一般公共预算财政拨款基本支出决算情况说明</w:t>
      </w:r>
    </w:p>
    <w:p w14:paraId="2AF85DDF">
      <w:pPr>
        <w:spacing w:line="580" w:lineRule="exact"/>
        <w:ind w:firstLine="640"/>
        <w:jc w:val="both"/>
      </w:pPr>
      <w:r>
        <w:rPr>
          <w:rFonts w:ascii="仿宋_GB2312" w:hAnsi="仿宋_GB2312" w:eastAsia="仿宋_GB2312"/>
          <w:b w:val="0"/>
          <w:sz w:val="32"/>
        </w:rPr>
        <w:t>2024年度一般公共预算财政拨款基本支出232.73万元，其中：</w:t>
      </w:r>
      <w:r>
        <w:rPr>
          <w:rFonts w:ascii="仿宋_GB2312" w:hAnsi="仿宋_GB2312" w:eastAsia="仿宋_GB2312"/>
          <w:b/>
          <w:sz w:val="32"/>
        </w:rPr>
        <w:t>人员经费231.38万元，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14:paraId="46D5E56B">
      <w:pPr>
        <w:spacing w:line="580" w:lineRule="exact"/>
        <w:ind w:firstLine="640"/>
        <w:jc w:val="both"/>
      </w:pPr>
      <w:r>
        <w:rPr>
          <w:rFonts w:ascii="仿宋_GB2312" w:hAnsi="仿宋_GB2312" w:eastAsia="仿宋_GB2312"/>
          <w:b/>
          <w:sz w:val="32"/>
        </w:rPr>
        <w:t>公用经费1.35万元，</w:t>
      </w:r>
      <w:r>
        <w:rPr>
          <w:rFonts w:ascii="仿宋_GB2312" w:hAnsi="仿宋_GB2312" w:eastAsia="仿宋_GB2312"/>
          <w:b w:val="0"/>
          <w:sz w:val="32"/>
        </w:rPr>
        <w:t>包括：水费、电费、邮电费、差旅费、维修（护）费、公务用车运行维护费。</w:t>
      </w:r>
    </w:p>
    <w:p w14:paraId="1E2E3FA6">
      <w:pPr>
        <w:spacing w:line="640" w:lineRule="exact"/>
        <w:ind w:firstLine="640"/>
        <w:jc w:val="both"/>
        <w:outlineLvl w:val="2"/>
      </w:pPr>
      <w:r>
        <w:rPr>
          <w:rFonts w:ascii="黑体" w:hAnsi="黑体" w:eastAsia="黑体"/>
          <w:sz w:val="32"/>
        </w:rPr>
        <w:t>七、政府性基金预算财政拨款收入支出决算情况说明</w:t>
      </w:r>
    </w:p>
    <w:p w14:paraId="7B1270D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09EDF3E">
      <w:pPr>
        <w:spacing w:line="640" w:lineRule="exact"/>
        <w:ind w:firstLine="640"/>
        <w:jc w:val="both"/>
        <w:outlineLvl w:val="2"/>
      </w:pPr>
      <w:r>
        <w:rPr>
          <w:rFonts w:ascii="黑体" w:hAnsi="黑体" w:eastAsia="黑体"/>
          <w:sz w:val="32"/>
        </w:rPr>
        <w:t>八、国有资本经营预算财政拨款收入支出决算情况说明</w:t>
      </w:r>
    </w:p>
    <w:p w14:paraId="2462F4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9F520D6">
      <w:pPr>
        <w:spacing w:line="640" w:lineRule="exact"/>
        <w:ind w:firstLine="640"/>
        <w:jc w:val="both"/>
        <w:outlineLvl w:val="2"/>
      </w:pPr>
      <w:r>
        <w:rPr>
          <w:rFonts w:ascii="黑体" w:hAnsi="黑体" w:eastAsia="黑体"/>
          <w:sz w:val="32"/>
        </w:rPr>
        <w:t>九、财政拨款“三公”经费支出决算情况说明</w:t>
      </w:r>
    </w:p>
    <w:p w14:paraId="59D3D002">
      <w:pPr>
        <w:spacing w:line="580" w:lineRule="exact"/>
        <w:ind w:firstLine="640"/>
        <w:jc w:val="both"/>
      </w:pPr>
      <w:r>
        <w:rPr>
          <w:rFonts w:ascii="仿宋_GB2312" w:hAnsi="仿宋_GB2312" w:eastAsia="仿宋_GB2312"/>
          <w:b/>
          <w:sz w:val="32"/>
        </w:rPr>
        <w:t>2024年度财政拨款“三公”经费支出0.05万元，</w:t>
      </w:r>
      <w:r>
        <w:rPr>
          <w:rFonts w:ascii="仿宋_GB2312" w:hAnsi="仿宋_GB2312" w:eastAsia="仿宋_GB2312"/>
          <w:b w:val="0"/>
          <w:sz w:val="32"/>
        </w:rPr>
        <w:t>比上年增加0.05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0.05万元，占100.00%，比上年增加0.05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14:paraId="005C76C2">
      <w:pPr>
        <w:spacing w:line="580" w:lineRule="exact"/>
        <w:ind w:firstLine="640"/>
        <w:jc w:val="both"/>
      </w:pPr>
      <w:r>
        <w:rPr>
          <w:rFonts w:ascii="仿宋_GB2312" w:hAnsi="仿宋_GB2312" w:eastAsia="仿宋_GB2312"/>
          <w:b/>
          <w:sz w:val="32"/>
        </w:rPr>
        <w:t>具体情况如下：</w:t>
      </w:r>
    </w:p>
    <w:p w14:paraId="1B0E254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0F91569">
      <w:pPr>
        <w:spacing w:line="580" w:lineRule="exact"/>
        <w:ind w:firstLine="640"/>
        <w:jc w:val="both"/>
      </w:pPr>
      <w:r>
        <w:rPr>
          <w:rFonts w:ascii="仿宋_GB2312" w:hAnsi="仿宋_GB2312" w:eastAsia="仿宋_GB2312"/>
          <w:b w:val="0"/>
          <w:sz w:val="32"/>
        </w:rPr>
        <w:t>公务用车购置及运行维护费0.05万元，其中：公务用车购置费0.00万元，公务用车运行维护费0.05万元。公务用车运行维护费开支内容包括车辆加油费。公务用车购置数0辆，公务用车保有量1辆。国有资产占用情况中固定资产车辆0辆，与公务用车保有量差异原因是：借用其他单位车辆，车辆费用由本单位支付。</w:t>
      </w:r>
    </w:p>
    <w:p w14:paraId="150FCE7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DC42C8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0.05万元，决算数0.05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0.05万元，决算数0.05万元，预决算差异率0.00%，主要原因是：严格按照预算执行，预决算无差异。公务接待费全年预算数0.00万元，决算数0.00万元，预决算差异率0.00%，主要原因是：本单位无公务接待费。</w:t>
      </w:r>
    </w:p>
    <w:p w14:paraId="2F71725F">
      <w:pPr>
        <w:spacing w:line="640" w:lineRule="exact"/>
        <w:ind w:firstLine="640"/>
        <w:jc w:val="both"/>
        <w:outlineLvl w:val="2"/>
      </w:pPr>
      <w:r>
        <w:rPr>
          <w:rFonts w:ascii="黑体" w:hAnsi="黑体" w:eastAsia="黑体"/>
          <w:sz w:val="32"/>
        </w:rPr>
        <w:t>十、其他重要事项的情况说明</w:t>
      </w:r>
    </w:p>
    <w:p w14:paraId="7242D297">
      <w:pPr>
        <w:spacing w:line="640" w:lineRule="exact"/>
        <w:ind w:firstLine="640"/>
        <w:jc w:val="both"/>
        <w:outlineLvl w:val="3"/>
      </w:pPr>
      <w:r>
        <w:rPr>
          <w:rFonts w:ascii="楷体_GB2312" w:hAnsi="楷体_GB2312" w:eastAsia="楷体_GB2312"/>
          <w:b/>
          <w:sz w:val="32"/>
        </w:rPr>
        <w:t>（一）机关运行经费及公用经费支出情况</w:t>
      </w:r>
    </w:p>
    <w:p w14:paraId="2814A379">
      <w:pPr>
        <w:spacing w:line="580" w:lineRule="exact"/>
        <w:ind w:firstLine="640"/>
        <w:jc w:val="both"/>
      </w:pPr>
      <w:r>
        <w:rPr>
          <w:rFonts w:ascii="仿宋_GB2312" w:hAnsi="仿宋_GB2312" w:eastAsia="仿宋_GB2312"/>
          <w:b w:val="0"/>
          <w:sz w:val="32"/>
        </w:rPr>
        <w:t>2024年度阿图什市阿湖乡文体广电旅游服务中心（事业单位）公用经费支出1.35万元，比上年增加0.00万元，增长0.00%，主要原因是：本年此经费为办公经费，与上年相比无变化。</w:t>
      </w:r>
    </w:p>
    <w:p w14:paraId="3A31BE3B">
      <w:pPr>
        <w:spacing w:line="640" w:lineRule="exact"/>
        <w:ind w:firstLine="640"/>
        <w:jc w:val="both"/>
        <w:outlineLvl w:val="3"/>
      </w:pPr>
      <w:r>
        <w:rPr>
          <w:rFonts w:ascii="楷体_GB2312" w:hAnsi="楷体_GB2312" w:eastAsia="楷体_GB2312"/>
          <w:b/>
          <w:sz w:val="32"/>
        </w:rPr>
        <w:t>（二）政府采购情况</w:t>
      </w:r>
    </w:p>
    <w:p w14:paraId="1C740B1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8B8CF6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868FF95">
      <w:pPr>
        <w:spacing w:line="640" w:lineRule="exact"/>
        <w:ind w:firstLine="640"/>
        <w:jc w:val="both"/>
        <w:outlineLvl w:val="3"/>
      </w:pPr>
      <w:r>
        <w:rPr>
          <w:rFonts w:ascii="楷体_GB2312" w:hAnsi="楷体_GB2312" w:eastAsia="楷体_GB2312"/>
          <w:b/>
          <w:sz w:val="32"/>
        </w:rPr>
        <w:t>（三）国有资产占用情况说明</w:t>
      </w:r>
    </w:p>
    <w:p w14:paraId="254F043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3FE59F2">
      <w:pPr>
        <w:spacing w:line="640" w:lineRule="exact"/>
        <w:ind w:firstLine="640"/>
        <w:jc w:val="both"/>
        <w:outlineLvl w:val="2"/>
      </w:pPr>
      <w:r>
        <w:rPr>
          <w:rFonts w:ascii="黑体" w:hAnsi="黑体" w:eastAsia="黑体"/>
          <w:sz w:val="32"/>
        </w:rPr>
        <w:t>十一、预算绩效的情况说明</w:t>
      </w:r>
    </w:p>
    <w:p w14:paraId="123A9BA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14:paraId="75639DBA">
      <w:r>
        <w:br w:type="page"/>
      </w:r>
    </w:p>
    <w:p w14:paraId="1455C396">
      <w:pPr>
        <w:spacing w:line="640" w:lineRule="exact"/>
        <w:ind w:firstLine="640"/>
        <w:jc w:val="both"/>
        <w:outlineLvl w:val="2"/>
      </w:pPr>
      <w:r>
        <w:rPr>
          <w:rFonts w:ascii="黑体" w:hAnsi="黑体" w:eastAsia="黑体"/>
          <w:sz w:val="32"/>
        </w:rPr>
        <w:t>十二、其他需说明的事项</w:t>
      </w:r>
    </w:p>
    <w:p w14:paraId="6C105F6B">
      <w:pPr>
        <w:spacing w:line="580" w:lineRule="exact"/>
        <w:ind w:firstLine="640"/>
        <w:jc w:val="both"/>
        <w:rPr>
          <w:rFonts w:hint="eastAsia" w:ascii="仿宋_GB2312" w:hAnsi="仿宋_GB2312" w:eastAsia="仿宋_GB2312"/>
          <w:b w:val="0"/>
          <w:sz w:val="32"/>
        </w:rPr>
      </w:pPr>
      <w:r>
        <w:rPr>
          <w:rFonts w:hint="eastAsia" w:ascii="仿宋_GB2312" w:hAnsi="仿宋_GB2312" w:eastAsia="仿宋_GB2312"/>
          <w:b w:val="0"/>
          <w:sz w:val="32"/>
        </w:rPr>
        <w:t>本单位2024年度无政府采购支出，授予中小企业合同金额0.00万元。</w:t>
      </w:r>
    </w:p>
    <w:p w14:paraId="630DB880">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14:paraId="0486E5FB">
      <w:r>
        <w:br w:type="page"/>
      </w:r>
    </w:p>
    <w:p w14:paraId="53998497">
      <w:pPr>
        <w:spacing w:line="240" w:lineRule="auto"/>
        <w:jc w:val="center"/>
        <w:outlineLvl w:val="1"/>
      </w:pPr>
      <w:r>
        <w:rPr>
          <w:rFonts w:ascii="黑体" w:hAnsi="黑体" w:eastAsia="黑体"/>
          <w:sz w:val="32"/>
        </w:rPr>
        <w:t>第三部分 专业名词解释</w:t>
      </w:r>
    </w:p>
    <w:p w14:paraId="67C3E94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D434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985A4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D987E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C4685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F697D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051C5B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0721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EA5EE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4986F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A0897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998FC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11E62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14AB1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C3BD30">
      <w:r>
        <w:br w:type="page"/>
      </w:r>
    </w:p>
    <w:p w14:paraId="55FFE0B4">
      <w:pPr>
        <w:spacing w:line="240" w:lineRule="auto"/>
        <w:jc w:val="center"/>
        <w:outlineLvl w:val="1"/>
      </w:pPr>
      <w:r>
        <w:rPr>
          <w:rFonts w:ascii="黑体" w:hAnsi="黑体" w:eastAsia="黑体"/>
          <w:sz w:val="32"/>
        </w:rPr>
        <w:t>第四部分 部门决算报表（见附表）</w:t>
      </w:r>
    </w:p>
    <w:p w14:paraId="69E051F2">
      <w:pPr>
        <w:spacing w:line="240" w:lineRule="auto"/>
        <w:ind w:firstLine="640"/>
        <w:jc w:val="both"/>
      </w:pPr>
      <w:r>
        <w:rPr>
          <w:rFonts w:ascii="仿宋_GB2312" w:hAnsi="仿宋_GB2312" w:eastAsia="仿宋_GB2312"/>
          <w:b w:val="0"/>
          <w:sz w:val="32"/>
        </w:rPr>
        <w:t>一、《收入支出决算总表》</w:t>
      </w:r>
    </w:p>
    <w:p w14:paraId="2A48763A">
      <w:pPr>
        <w:spacing w:line="240" w:lineRule="auto"/>
        <w:ind w:firstLine="640"/>
        <w:jc w:val="both"/>
      </w:pPr>
      <w:r>
        <w:rPr>
          <w:rFonts w:ascii="仿宋_GB2312" w:hAnsi="仿宋_GB2312" w:eastAsia="仿宋_GB2312"/>
          <w:b w:val="0"/>
          <w:sz w:val="32"/>
        </w:rPr>
        <w:t>二、《收入决算表》</w:t>
      </w:r>
    </w:p>
    <w:p w14:paraId="6083C3D3">
      <w:pPr>
        <w:spacing w:line="240" w:lineRule="auto"/>
        <w:ind w:firstLine="640"/>
        <w:jc w:val="both"/>
      </w:pPr>
      <w:r>
        <w:rPr>
          <w:rFonts w:ascii="仿宋_GB2312" w:hAnsi="仿宋_GB2312" w:eastAsia="仿宋_GB2312"/>
          <w:b w:val="0"/>
          <w:sz w:val="32"/>
        </w:rPr>
        <w:t>三、《支出决算表》</w:t>
      </w:r>
    </w:p>
    <w:p w14:paraId="2894CD6B">
      <w:pPr>
        <w:spacing w:line="240" w:lineRule="auto"/>
        <w:ind w:firstLine="640"/>
        <w:jc w:val="both"/>
      </w:pPr>
      <w:r>
        <w:rPr>
          <w:rFonts w:ascii="仿宋_GB2312" w:hAnsi="仿宋_GB2312" w:eastAsia="仿宋_GB2312"/>
          <w:b w:val="0"/>
          <w:sz w:val="32"/>
        </w:rPr>
        <w:t>四、《财政拨款收入支出决算总表》</w:t>
      </w:r>
    </w:p>
    <w:p w14:paraId="2AE7CF7A">
      <w:pPr>
        <w:spacing w:line="240" w:lineRule="auto"/>
        <w:ind w:firstLine="640"/>
        <w:jc w:val="both"/>
      </w:pPr>
      <w:r>
        <w:rPr>
          <w:rFonts w:ascii="仿宋_GB2312" w:hAnsi="仿宋_GB2312" w:eastAsia="仿宋_GB2312"/>
          <w:b w:val="0"/>
          <w:sz w:val="32"/>
        </w:rPr>
        <w:t>五、《一般公共预算财政拨款支出决算表》</w:t>
      </w:r>
    </w:p>
    <w:p w14:paraId="0BCE1AC5">
      <w:pPr>
        <w:spacing w:line="240" w:lineRule="auto"/>
        <w:ind w:firstLine="640"/>
        <w:jc w:val="both"/>
      </w:pPr>
      <w:r>
        <w:rPr>
          <w:rFonts w:ascii="仿宋_GB2312" w:hAnsi="仿宋_GB2312" w:eastAsia="仿宋_GB2312"/>
          <w:b w:val="0"/>
          <w:sz w:val="32"/>
        </w:rPr>
        <w:t>六、《一般公共预算财政拨款基本支出决算表》</w:t>
      </w:r>
    </w:p>
    <w:p w14:paraId="37CEE94B">
      <w:pPr>
        <w:spacing w:line="240" w:lineRule="auto"/>
        <w:ind w:firstLine="640"/>
        <w:jc w:val="both"/>
      </w:pPr>
      <w:r>
        <w:rPr>
          <w:rFonts w:ascii="仿宋_GB2312" w:hAnsi="仿宋_GB2312" w:eastAsia="仿宋_GB2312"/>
          <w:b w:val="0"/>
          <w:sz w:val="32"/>
        </w:rPr>
        <w:t>七、《政府性基金预算财政拨款收入支出决算表》</w:t>
      </w:r>
    </w:p>
    <w:p w14:paraId="4A84CA3A">
      <w:pPr>
        <w:spacing w:line="240" w:lineRule="auto"/>
        <w:ind w:firstLine="640"/>
        <w:jc w:val="both"/>
      </w:pPr>
      <w:r>
        <w:rPr>
          <w:rFonts w:ascii="仿宋_GB2312" w:hAnsi="仿宋_GB2312" w:eastAsia="仿宋_GB2312"/>
          <w:b w:val="0"/>
          <w:sz w:val="32"/>
        </w:rPr>
        <w:t>八、《国有资本经营预算财政拨款收入支出决算表》</w:t>
      </w:r>
    </w:p>
    <w:p w14:paraId="2B987E95">
      <w:pPr>
        <w:spacing w:line="240" w:lineRule="auto"/>
        <w:ind w:firstLine="640"/>
        <w:jc w:val="both"/>
      </w:pPr>
      <w:r>
        <w:rPr>
          <w:rFonts w:ascii="仿宋_GB2312" w:hAnsi="仿宋_GB2312" w:eastAsia="仿宋_GB2312"/>
          <w:b w:val="0"/>
          <w:sz w:val="32"/>
        </w:rPr>
        <w:t>九、《财政拨款“三公”经费支出决算表》</w:t>
      </w:r>
    </w:p>
    <w:p w14:paraId="4C0B37F7">
      <w:pPr>
        <w:spacing w:line="240" w:lineRule="auto"/>
        <w:ind w:firstLine="640"/>
        <w:jc w:val="both"/>
      </w:pPr>
    </w:p>
    <w:p w14:paraId="42F35F18">
      <w:pPr>
        <w:spacing w:line="240" w:lineRule="auto"/>
        <w:ind w:firstLine="640"/>
        <w:jc w:val="both"/>
      </w:pPr>
    </w:p>
    <w:p w14:paraId="6AA8F72D">
      <w:pPr>
        <w:spacing w:line="240" w:lineRule="auto"/>
        <w:ind w:firstLine="640"/>
        <w:jc w:val="both"/>
      </w:pPr>
    </w:p>
    <w:p w14:paraId="1C7356F1">
      <w:pPr>
        <w:spacing w:line="240" w:lineRule="auto"/>
        <w:ind w:firstLine="640"/>
        <w:jc w:val="both"/>
      </w:pPr>
    </w:p>
    <w:p w14:paraId="128D272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2A1775"/>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2A34BA"/>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896BC6"/>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5064</Words>
  <Characters>5665</Characters>
  <Lines>0</Lines>
  <Paragraphs>0</Paragraphs>
  <TotalTime>1</TotalTime>
  <ScaleCrop>false</ScaleCrop>
  <LinksUpToDate>false</LinksUpToDate>
  <CharactersWithSpaces>5675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2026-01-13T04:52:25Z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