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中共阿图什市阿扎克镇委员会2024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在市委领导下发挥领导核心作用，认真贯彻党的路线、方针、政策和上级党组织的决定；负责对本乡政</w:t>
      </w:r>
      <w:r>
        <w:rPr>
          <w:rFonts w:hint="eastAsia" w:ascii="仿宋_GB2312" w:hAnsi="仿宋_GB2312" w:eastAsia="仿宋_GB2312"/>
          <w:sz w:val="32"/>
          <w:lang w:eastAsia="zh-CN"/>
        </w:rPr>
        <w:t>治和</w:t>
      </w:r>
      <w:r>
        <w:rPr>
          <w:rFonts w:ascii="仿宋_GB2312" w:hAnsi="仿宋_GB2312" w:eastAsia="仿宋_GB2312"/>
          <w:sz w:val="32"/>
        </w:rPr>
        <w:t>经济社会等重大事务</w:t>
      </w:r>
      <w:r>
        <w:rPr>
          <w:rFonts w:hint="eastAsia" w:ascii="仿宋_GB2312" w:hAnsi="仿宋_GB2312" w:eastAsia="仿宋_GB2312"/>
          <w:sz w:val="32"/>
          <w:lang w:eastAsia="zh-CN"/>
        </w:rPr>
        <w:t>作出</w:t>
      </w:r>
      <w:r>
        <w:rPr>
          <w:rFonts w:ascii="仿宋_GB2312" w:hAnsi="仿宋_GB2312" w:eastAsia="仿宋_GB2312"/>
          <w:sz w:val="32"/>
        </w:rPr>
        <w:t>决策；负责全乡党</w:t>
      </w:r>
      <w:bookmarkStart w:id="0" w:name="_GoBack"/>
      <w:bookmarkEnd w:id="0"/>
      <w:r>
        <w:rPr>
          <w:rFonts w:ascii="仿宋_GB2312" w:hAnsi="仿宋_GB2312" w:eastAsia="仿宋_GB2312"/>
          <w:sz w:val="32"/>
        </w:rPr>
        <w:t>的政策、思想、组织和作风建设、抓好党委的自身建设；按照上级规定的干部管理权限，负责抓好乡属部门单位负责人的考察、培养、使用和管理，努力造就一支高素质党员干部。领导乡人大、人民政府、乡纪委等工作；搞好全乡精神文明建设，决定重要建设项目和审定数额较大的财务开支；完成上级党委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中共阿图什市阿扎克镇委员会2024年度，实有人数30人，其中：在职人员26人，增加0人；离休人员0人，增加0人；退休人员4人,增加0人。</w:t>
      </w:r>
    </w:p>
    <w:p>
      <w:pPr>
        <w:spacing w:line="580" w:lineRule="exact"/>
        <w:ind w:firstLine="640"/>
        <w:jc w:val="both"/>
      </w:pPr>
      <w:r>
        <w:rPr>
          <w:rFonts w:ascii="仿宋_GB2312" w:hAnsi="仿宋_GB2312" w:eastAsia="仿宋_GB2312"/>
          <w:sz w:val="32"/>
        </w:rPr>
        <w:t>中共阿图什市阿扎克镇委员会无下属预算单位，下设3个科室，分别是：党建办公室、党政办、团委办公室。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2024年度收入总计323.59万元，</w:t>
      </w:r>
      <w:r>
        <w:rPr>
          <w:rFonts w:ascii="仿宋_GB2312" w:hAnsi="仿宋_GB2312" w:eastAsia="仿宋_GB2312"/>
          <w:b w:val="0"/>
          <w:sz w:val="32"/>
        </w:rPr>
        <w:t>其中：本年收入合计323.59万元，使用非财政拨款结余（含专用结余）0.00万元，年初结转和结余0.00万元。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2024年度支出总计323.59万元，</w:t>
      </w:r>
      <w:r>
        <w:rPr>
          <w:rFonts w:ascii="仿宋_GB2312" w:hAnsi="仿宋_GB2312" w:eastAsia="仿宋_GB2312"/>
          <w:b w:val="0"/>
          <w:sz w:val="32"/>
        </w:rPr>
        <w:t>其中：本年支出合计323.59万元，结余分配0.00万元，年末结转和结余0.00万元。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收入支出总体与上年相比，减少33.99万元，下降9.51%，主要原因是：本年无退休人员，职业年金减少</w:t>
      </w:r>
      <w:r>
        <w:rPr>
          <w:rFonts w:hint="eastAsia" w:ascii="仿宋_GB2312" w:hAnsi="仿宋_GB2312" w:eastAsia="仿宋_GB2312"/>
          <w:b w:val="0"/>
          <w:sz w:val="32"/>
          <w:lang w:eastAsia="zh-CN"/>
        </w:rPr>
        <w:t>；</w:t>
      </w:r>
      <w:r>
        <w:rPr>
          <w:rFonts w:hint="eastAsia" w:ascii="仿宋_GB2312" w:hAnsi="仿宋_GB2312" w:eastAsia="仿宋_GB2312"/>
          <w:b w:val="0"/>
          <w:sz w:val="32"/>
        </w:rPr>
        <w:t>本年在职人员调入调出，人员职级不同，缴费基数不同，导致</w:t>
      </w:r>
      <w:r>
        <w:rPr>
          <w:rFonts w:hint="eastAsia" w:ascii="仿宋_GB2312" w:hAnsi="仿宋_GB2312" w:eastAsia="仿宋_GB2312"/>
          <w:b w:val="0"/>
          <w:sz w:val="32"/>
          <w:lang w:val="en-US" w:eastAsia="zh-CN"/>
        </w:rPr>
        <w:t>相关人员经费</w:t>
      </w:r>
      <w:r>
        <w:rPr>
          <w:rFonts w:hint="eastAsia" w:ascii="仿宋_GB2312" w:hAnsi="仿宋_GB2312" w:eastAsia="仿宋_GB2312"/>
          <w:b w:val="0"/>
          <w:sz w:val="32"/>
        </w:rPr>
        <w:t>较上年减少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本年收入323.59万元，</w:t>
      </w:r>
      <w:r>
        <w:rPr>
          <w:rFonts w:ascii="仿宋_GB2312" w:hAnsi="仿宋_GB2312" w:eastAsia="仿宋_GB2312"/>
          <w:b w:val="0"/>
          <w:sz w:val="32"/>
        </w:rPr>
        <w:t>其中：财政拨款收入323.59万元，占100.00%；上级补助收入0.00万元，占0.00%；事业收入0.00万元，占0.00%；经营收入0.00万元，占0.00%；附属单位上缴收入0.00万元，占0.00%；其他收入0.00万元，占0.00%。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本年支出323.59万元，</w:t>
      </w:r>
      <w:r>
        <w:rPr>
          <w:rFonts w:ascii="仿宋_GB2312" w:hAnsi="仿宋_GB2312" w:eastAsia="仿宋_GB2312"/>
          <w:b w:val="0"/>
          <w:sz w:val="32"/>
        </w:rPr>
        <w:t>其中：基本支出323.59万元，占100.00%；项目支出0.00万元，占0.00%；上缴上级支出0.00万元，占0.00%；经营支出0.00万元，占0.00%；对附属单位补助支出0.00万元，占0.00%。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2024年度财政拨款收入总计323.59万元，</w:t>
      </w:r>
      <w:r>
        <w:rPr>
          <w:rFonts w:ascii="仿宋_GB2312" w:hAnsi="仿宋_GB2312" w:eastAsia="仿宋_GB2312"/>
          <w:b w:val="0"/>
          <w:sz w:val="32"/>
        </w:rPr>
        <w:t>其中：年初财政拨款结转和结余0.00万元，本年财政拨款收入323.59万元。</w:t>
      </w:r>
      <w:r>
        <w:rPr>
          <w:rFonts w:ascii="仿宋_GB2312" w:hAnsi="仿宋_GB2312" w:eastAsia="仿宋_GB2312"/>
          <w:b/>
          <w:sz w:val="32"/>
        </w:rPr>
        <w:t>财政拨款支出总计323.59万元，</w:t>
      </w:r>
      <w:r>
        <w:rPr>
          <w:rFonts w:ascii="仿宋_GB2312" w:hAnsi="仿宋_GB2312" w:eastAsia="仿宋_GB2312"/>
          <w:b w:val="0"/>
          <w:sz w:val="32"/>
        </w:rPr>
        <w:t>其中：年末财政拨款结转和结余0.00万元，本年财政拨款支出323.59万元。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减少33.99万元，下降9.51%，主要原因是：本年无退休人员，职业年金减少</w:t>
      </w:r>
      <w:r>
        <w:rPr>
          <w:rFonts w:hint="eastAsia" w:ascii="仿宋_GB2312" w:hAnsi="仿宋_GB2312" w:eastAsia="仿宋_GB2312"/>
          <w:b w:val="0"/>
          <w:sz w:val="32"/>
          <w:lang w:eastAsia="zh-CN"/>
        </w:rPr>
        <w:t>；</w:t>
      </w:r>
      <w:r>
        <w:rPr>
          <w:rFonts w:hint="eastAsia" w:ascii="仿宋_GB2312" w:hAnsi="仿宋_GB2312" w:eastAsia="仿宋_GB2312"/>
          <w:b w:val="0"/>
          <w:sz w:val="32"/>
        </w:rPr>
        <w:t>本年在职人员调入调出，人员职级不同，缴费基数不同，导致</w:t>
      </w:r>
      <w:r>
        <w:rPr>
          <w:rFonts w:hint="eastAsia" w:ascii="仿宋_GB2312" w:hAnsi="仿宋_GB2312" w:eastAsia="仿宋_GB2312"/>
          <w:b w:val="0"/>
          <w:sz w:val="32"/>
          <w:lang w:val="en-US" w:eastAsia="zh-CN"/>
        </w:rPr>
        <w:t>相关人员经费</w:t>
      </w:r>
      <w:r>
        <w:rPr>
          <w:rFonts w:hint="eastAsia" w:ascii="仿宋_GB2312" w:hAnsi="仿宋_GB2312" w:eastAsia="仿宋_GB2312"/>
          <w:b w:val="0"/>
          <w:sz w:val="32"/>
        </w:rPr>
        <w:t>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年初预算数363.79万元，决算数323.59万元，预决算差异率-11.05%，主要原因是：严格落实中央八项规定精神，厉行节约，减少不必要的开支。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2024年度一般公共预算财政拨款支出323.59万元，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减少33.99万元，下降9.51%，主要原因是：本年无退休人员，职业年金减少</w:t>
      </w:r>
      <w:r>
        <w:rPr>
          <w:rFonts w:hint="eastAsia" w:ascii="仿宋_GB2312" w:hAnsi="仿宋_GB2312" w:eastAsia="仿宋_GB2312"/>
          <w:b w:val="0"/>
          <w:sz w:val="32"/>
          <w:lang w:eastAsia="zh-CN"/>
        </w:rPr>
        <w:t>；</w:t>
      </w:r>
      <w:r>
        <w:rPr>
          <w:rFonts w:hint="eastAsia" w:ascii="仿宋_GB2312" w:hAnsi="仿宋_GB2312" w:eastAsia="仿宋_GB2312"/>
          <w:b w:val="0"/>
          <w:sz w:val="32"/>
        </w:rPr>
        <w:t>本年在职人员调入调出，人员职级不同，缴费基数不同，导致</w:t>
      </w:r>
      <w:r>
        <w:rPr>
          <w:rFonts w:hint="eastAsia" w:ascii="仿宋_GB2312" w:hAnsi="仿宋_GB2312" w:eastAsia="仿宋_GB2312"/>
          <w:b w:val="0"/>
          <w:sz w:val="32"/>
          <w:lang w:val="en-US" w:eastAsia="zh-CN"/>
        </w:rPr>
        <w:t>相关人员经费</w:t>
      </w:r>
      <w:r>
        <w:rPr>
          <w:rFonts w:hint="eastAsia" w:ascii="仿宋_GB2312" w:hAnsi="仿宋_GB2312" w:eastAsia="仿宋_GB2312"/>
          <w:b w:val="0"/>
          <w:sz w:val="32"/>
        </w:rPr>
        <w:t>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年初预算数363.79万元，决算数323.59万元，预决算差异率-11.05%，主要原因是：严格落实中央八项规定精神，厉行节约，减少不必要的开支。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1.一般公共服务支出(类)277.30万元,占85.69%。</w:t>
      </w:r>
    </w:p>
    <w:p>
      <w:pPr>
        <w:spacing w:line="580" w:lineRule="exact"/>
        <w:ind w:firstLine="640"/>
        <w:jc w:val="both"/>
      </w:pPr>
      <w:r>
        <w:rPr>
          <w:rFonts w:ascii="仿宋_GB2312" w:hAnsi="仿宋_GB2312" w:eastAsia="仿宋_GB2312"/>
          <w:b w:val="0"/>
          <w:sz w:val="32"/>
        </w:rPr>
        <w:t>2.社会保障和就业支出(类)23.81万元,占7.36%。</w:t>
      </w:r>
    </w:p>
    <w:p>
      <w:pPr>
        <w:spacing w:line="580" w:lineRule="exact"/>
        <w:ind w:firstLine="640"/>
        <w:jc w:val="both"/>
      </w:pPr>
      <w:r>
        <w:rPr>
          <w:rFonts w:ascii="仿宋_GB2312" w:hAnsi="仿宋_GB2312" w:eastAsia="仿宋_GB2312"/>
          <w:b w:val="0"/>
          <w:sz w:val="32"/>
        </w:rPr>
        <w:t>3.卫生健康支出(类)7.56万元,占2.34%。</w:t>
      </w:r>
    </w:p>
    <w:p>
      <w:pPr>
        <w:spacing w:line="580" w:lineRule="exact"/>
        <w:ind w:firstLine="640"/>
        <w:jc w:val="both"/>
      </w:pPr>
      <w:r>
        <w:rPr>
          <w:rFonts w:ascii="仿宋_GB2312" w:hAnsi="仿宋_GB2312" w:eastAsia="仿宋_GB2312"/>
          <w:b w:val="0"/>
          <w:sz w:val="32"/>
        </w:rPr>
        <w:t>4.住房保障支出(类)14.91万元,占4.61%。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其他政府办公厅（室）及相关机构事务支出(项):支出决算数为0.00万元，比上年决算减少1.22万元，下降100.00%,主要原因是：科目调整，电费调整至主科目支出，导致此科目较上年减少。</w:t>
      </w:r>
    </w:p>
    <w:p>
      <w:pPr>
        <w:spacing w:line="580" w:lineRule="exact"/>
        <w:ind w:firstLine="640"/>
        <w:jc w:val="both"/>
      </w:pPr>
      <w:r>
        <w:rPr>
          <w:rFonts w:ascii="仿宋_GB2312" w:hAnsi="仿宋_GB2312" w:eastAsia="仿宋_GB2312"/>
          <w:b w:val="0"/>
          <w:sz w:val="32"/>
        </w:rPr>
        <w:t>2.一般公共服务支出(类)党委办公厅（室）及相关机构事务(款)行政运行(项):支出决算数为156.71万元，比上年决算减少149.65万元，下降48.85%,主要原因是：科目调整，本年在职事业人员工资从行政运行科目调整至事业运行科目，导致此科目较上年减少。</w:t>
      </w:r>
    </w:p>
    <w:p>
      <w:pPr>
        <w:spacing w:line="580" w:lineRule="exact"/>
        <w:ind w:firstLine="640"/>
        <w:jc w:val="both"/>
      </w:pPr>
      <w:r>
        <w:rPr>
          <w:rFonts w:ascii="仿宋_GB2312" w:hAnsi="仿宋_GB2312" w:eastAsia="仿宋_GB2312"/>
          <w:b w:val="0"/>
          <w:sz w:val="32"/>
        </w:rPr>
        <w:t>3.一般公共服务支出(类)党委办公厅（室）及相关机构事务(款)事业运行(项):支出决算数为120.59万元，比上年决算增加120.59万元，增长100.00%,主要原因是：科目调整，本年在职事业人员工资从行政运行科目调整至事业运行科目，导致此科目较上年增加。</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4.社会保障和就业支出(类)行政事业单位养老支出(款)行政单位离退休(项):支出决算数为5.27万元，比上年决算增加0.60万元，增长12.85%,主要原因是：本年增加退休人员基础绩效奖，退休费支出增加。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18.55万元，比上年决算增加1.61万元，增长9.50%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6.社会保障和就业支出(类)行政事业单位养老支出(款)机关事业单位职业年金缴费支出(项):支出决算数为0.00万元，比上年决算减少6.31万元，下降100.00%,主要原因是：本年无退休人员，减少职业年金缴费支出。</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7.卫生健康支出(类)行政事业单位医疗(款)行政单位医疗(项):支出决算数为7.56万元，比上年决算增加0.05万元，增长0.67%,主要原因是：本年在职人员工资基数调增，医疗缴费基数上涨，相应支出增加。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8.住房保障支出(类)住房改革支出(款)住房公积金(项):支出决算数为14.91万元，比上年决算增加0.34万元，增长2.33%,主要原因是：本年在职人员工资基数调增，公积金缴费基数上涨，相应支出增加。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2024年度一般公共预算财政拨款基本支出323.59万元，其中：</w:t>
      </w:r>
      <w:r>
        <w:rPr>
          <w:rFonts w:ascii="仿宋_GB2312" w:hAnsi="仿宋_GB2312" w:eastAsia="仿宋_GB2312"/>
          <w:b/>
          <w:sz w:val="32"/>
        </w:rPr>
        <w:t>人员经费321.79万元，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公用经费1.80万元，</w:t>
      </w:r>
      <w:r>
        <w:rPr>
          <w:rFonts w:ascii="仿宋_GB2312" w:hAnsi="仿宋_GB2312" w:eastAsia="仿宋_GB2312"/>
          <w:b w:val="0"/>
          <w:sz w:val="32"/>
        </w:rPr>
        <w:t>包括：办公费、印刷费、手续费、电费。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2024年度中共阿图什市阿扎克镇委员会（行政单位和参照公务员法管理事业单位）机关运行经费支出1.80万元，比上年减少1.37万元，下降43.22%，主要原因是：严控经费支出，厉行节约，减少经费支出。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本单位无预算绩效项目。发现的问题及原因：2024年本单位无预算绩效项目。下一步改进措施：2024年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本年度本单位整体绩效自评表由阿图什市阿扎克镇人民政府编报并公开。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317326"/>
    <w:rsid w:val="0E4B1576"/>
    <w:rsid w:val="0EA04331"/>
    <w:rsid w:val="0F9811B3"/>
    <w:rsid w:val="11E15093"/>
    <w:rsid w:val="120E0809"/>
    <w:rsid w:val="16825A91"/>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A42B02"/>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48D0EAB"/>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836</Words>
  <Characters>844</Characters>
  <Lines>0</Lines>
  <Paragraphs>0</Paragraphs>
  <TotalTime>11</TotalTime>
  <ScaleCrop>false</ScaleCrop>
  <LinksUpToDate>false</LinksUpToDate>
  <CharactersWithSpaces>851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2025-09-18T11:19:02Z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