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阿图什市儿童福利院2024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6267E0">
      <w:r>
        <w:br w:type="page"/>
      </w:r>
    </w:p>
    <w:p w14:paraId="28E3119D">
      <w:pPr>
        <w:spacing w:line="640" w:lineRule="exact"/>
        <w:jc w:val="center"/>
        <w:outlineLvl w:val="1"/>
      </w:pPr>
      <w:r>
        <w:rPr>
          <w:rFonts w:ascii="黑体" w:hAnsi="黑体" w:eastAsia="黑体"/>
          <w:sz w:val="32"/>
        </w:rPr>
        <w:t>第一部分 单位概况</w:t>
      </w:r>
    </w:p>
    <w:p w14:paraId="344A33EE">
      <w:pPr>
        <w:spacing w:line="640" w:lineRule="exact"/>
        <w:ind w:firstLine="640"/>
        <w:jc w:val="both"/>
        <w:outlineLvl w:val="2"/>
      </w:pPr>
      <w:r>
        <w:rPr>
          <w:rFonts w:ascii="黑体" w:hAnsi="黑体" w:eastAsia="黑体"/>
          <w:sz w:val="32"/>
        </w:rPr>
        <w:t>一、主要职能</w:t>
      </w:r>
    </w:p>
    <w:p w14:paraId="7FF10032">
      <w:pPr>
        <w:spacing w:line="580" w:lineRule="exact"/>
        <w:ind w:firstLine="640"/>
        <w:jc w:val="both"/>
      </w:pPr>
      <w:r>
        <w:rPr>
          <w:rFonts w:ascii="仿宋_GB2312" w:hAnsi="仿宋_GB2312" w:eastAsia="仿宋_GB2312"/>
          <w:sz w:val="32"/>
        </w:rPr>
        <w:t>（1）收养本地区弃婴和孤儿，并为其提供养护、医疗、康复、教育、安置等服务。</w:t>
      </w:r>
    </w:p>
    <w:p w14:paraId="777CF149">
      <w:pPr>
        <w:spacing w:line="580" w:lineRule="exact"/>
        <w:ind w:firstLine="640"/>
        <w:jc w:val="both"/>
      </w:pPr>
      <w:r>
        <w:rPr>
          <w:rFonts w:ascii="仿宋_GB2312" w:hAnsi="仿宋_GB2312" w:eastAsia="仿宋_GB2312"/>
          <w:sz w:val="32"/>
        </w:rPr>
        <w:t>（2）承担本地区孤儿养育状况评估工作，协助民政部门开展孤儿和困境儿童福利服务指导工作。</w:t>
      </w:r>
    </w:p>
    <w:p w14:paraId="2B3D0FF0">
      <w:pPr>
        <w:spacing w:line="580" w:lineRule="exact"/>
        <w:ind w:firstLine="640"/>
        <w:jc w:val="both"/>
      </w:pPr>
      <w:r>
        <w:rPr>
          <w:rFonts w:ascii="仿宋_GB2312" w:hAnsi="仿宋_GB2312" w:eastAsia="仿宋_GB2312"/>
          <w:sz w:val="32"/>
        </w:rPr>
        <w:t>（3）参与孤残儿童监护人培训，指导各地开展孤残儿童康复和困境儿童家庭养育技能培训工作。</w:t>
      </w:r>
    </w:p>
    <w:p w14:paraId="3A2ED9E1">
      <w:pPr>
        <w:spacing w:line="580" w:lineRule="exact"/>
        <w:ind w:firstLine="640"/>
        <w:jc w:val="both"/>
      </w:pPr>
      <w:r>
        <w:rPr>
          <w:rFonts w:ascii="仿宋_GB2312" w:hAnsi="仿宋_GB2312" w:eastAsia="仿宋_GB2312"/>
          <w:sz w:val="32"/>
        </w:rPr>
        <w:t>（4）根据孤、残、困儿童的身心特点和培育模式，开展特殊教育工作。</w:t>
      </w:r>
    </w:p>
    <w:p w14:paraId="23C8E03D">
      <w:pPr>
        <w:spacing w:line="640" w:lineRule="exact"/>
        <w:ind w:firstLine="640"/>
        <w:jc w:val="both"/>
        <w:outlineLvl w:val="2"/>
      </w:pPr>
      <w:r>
        <w:rPr>
          <w:rFonts w:ascii="黑体" w:hAnsi="黑体" w:eastAsia="黑体"/>
          <w:sz w:val="32"/>
        </w:rPr>
        <w:t>二、机构设置及人员情况</w:t>
      </w:r>
    </w:p>
    <w:p w14:paraId="7E5C664E">
      <w:pPr>
        <w:spacing w:line="580" w:lineRule="exact"/>
        <w:ind w:firstLine="640"/>
        <w:jc w:val="both"/>
      </w:pPr>
      <w:r>
        <w:rPr>
          <w:rFonts w:ascii="仿宋_GB2312" w:hAnsi="仿宋_GB2312" w:eastAsia="仿宋_GB2312"/>
          <w:sz w:val="32"/>
        </w:rPr>
        <w:t>阿图什市儿童福利院2024年度，实有人数38人，其中：在职人员25人，增加0人；离休人员0人，增加0人；退休人员13人,增加0人。</w:t>
      </w:r>
    </w:p>
    <w:p w14:paraId="506AD843">
      <w:pPr>
        <w:spacing w:line="580" w:lineRule="exact"/>
        <w:ind w:firstLine="640"/>
        <w:jc w:val="both"/>
      </w:pPr>
      <w:r>
        <w:rPr>
          <w:rFonts w:ascii="仿宋_GB2312" w:hAnsi="仿宋_GB2312" w:eastAsia="仿宋_GB2312"/>
          <w:sz w:val="32"/>
        </w:rPr>
        <w:t>阿图什市儿童福利院无下属预算单位，下设4个科室，分别是：办公室、保育科、后勤科、财务室。</w:t>
      </w:r>
    </w:p>
    <w:p w14:paraId="7FD77ACC">
      <w:r>
        <w:br w:type="page"/>
      </w:r>
    </w:p>
    <w:p w14:paraId="2D48D947">
      <w:pPr>
        <w:spacing w:line="240" w:lineRule="auto"/>
        <w:jc w:val="center"/>
        <w:outlineLvl w:val="1"/>
      </w:pPr>
      <w:r>
        <w:rPr>
          <w:rFonts w:ascii="黑体" w:hAnsi="黑体" w:eastAsia="黑体"/>
          <w:sz w:val="32"/>
        </w:rPr>
        <w:t>第二部分 部门决算情况说明</w:t>
      </w:r>
    </w:p>
    <w:p w14:paraId="7D4DD527">
      <w:pPr>
        <w:spacing w:line="640" w:lineRule="exact"/>
        <w:ind w:firstLine="640"/>
        <w:jc w:val="both"/>
        <w:outlineLvl w:val="2"/>
      </w:pPr>
      <w:r>
        <w:rPr>
          <w:rFonts w:ascii="黑体" w:hAnsi="黑体" w:eastAsia="黑体"/>
          <w:sz w:val="32"/>
        </w:rPr>
        <w:t>一、收入支出决算总体情况说明</w:t>
      </w:r>
    </w:p>
    <w:p w14:paraId="580073B4">
      <w:pPr>
        <w:spacing w:line="580" w:lineRule="exact"/>
        <w:ind w:firstLine="640"/>
        <w:jc w:val="both"/>
      </w:pPr>
      <w:r>
        <w:rPr>
          <w:rFonts w:ascii="仿宋_GB2312" w:hAnsi="仿宋_GB2312" w:eastAsia="仿宋_GB2312"/>
          <w:b/>
          <w:sz w:val="32"/>
        </w:rPr>
        <w:t>2024年度收入总计556.49万元，</w:t>
      </w:r>
      <w:r>
        <w:rPr>
          <w:rFonts w:ascii="仿宋_GB2312" w:hAnsi="仿宋_GB2312" w:eastAsia="仿宋_GB2312"/>
          <w:b w:val="0"/>
          <w:sz w:val="32"/>
        </w:rPr>
        <w:t>其中：本年收入合计556.49万元，使用非财政拨款结余（含专用结余）0.00万元，年初结转和结余0.00万元。</w:t>
      </w:r>
    </w:p>
    <w:p w14:paraId="427C4EA2">
      <w:pPr>
        <w:spacing w:line="580" w:lineRule="exact"/>
        <w:ind w:firstLine="640"/>
        <w:jc w:val="both"/>
      </w:pPr>
      <w:r>
        <w:rPr>
          <w:rFonts w:ascii="仿宋_GB2312" w:hAnsi="仿宋_GB2312" w:eastAsia="仿宋_GB2312"/>
          <w:b/>
          <w:sz w:val="32"/>
        </w:rPr>
        <w:t>2024年度支出总计556.49万元，</w:t>
      </w:r>
      <w:r>
        <w:rPr>
          <w:rFonts w:ascii="仿宋_GB2312" w:hAnsi="仿宋_GB2312" w:eastAsia="仿宋_GB2312"/>
          <w:b w:val="0"/>
          <w:sz w:val="32"/>
        </w:rPr>
        <w:t>其中：本年支出合计556.49万元，结余分配0.00万元，年末结转和结余0.00万元。</w:t>
      </w:r>
    </w:p>
    <w:p w14:paraId="0DAD9599">
      <w:pPr>
        <w:spacing w:line="580" w:lineRule="exact"/>
        <w:ind w:firstLine="640"/>
        <w:jc w:val="both"/>
      </w:pPr>
      <w:r>
        <w:rPr>
          <w:rFonts w:ascii="仿宋_GB2312" w:hAnsi="仿宋_GB2312" w:eastAsia="仿宋_GB2312"/>
          <w:b w:val="0"/>
          <w:sz w:val="32"/>
        </w:rPr>
        <w:t>收入支出总体与上年相比，减少35.47万元，下降5.99%，主要原因是：本年享受福利儿童减少，相关经费减少；本年较上年减少死亡抚恤金支出；本年减少孤残儿童照护护理补贴资金和“福彩圆梦”孤儿助学工程项目经费。</w:t>
      </w:r>
    </w:p>
    <w:p w14:paraId="47212ACA">
      <w:pPr>
        <w:spacing w:line="640" w:lineRule="exact"/>
        <w:ind w:firstLine="640"/>
        <w:jc w:val="both"/>
        <w:outlineLvl w:val="2"/>
      </w:pPr>
      <w:r>
        <w:rPr>
          <w:rFonts w:ascii="黑体" w:hAnsi="黑体" w:eastAsia="黑体"/>
          <w:sz w:val="32"/>
        </w:rPr>
        <w:t>二、收入决算情况说明</w:t>
      </w:r>
    </w:p>
    <w:p w14:paraId="57BF29BE">
      <w:pPr>
        <w:spacing w:line="580" w:lineRule="exact"/>
        <w:ind w:firstLine="640"/>
        <w:jc w:val="both"/>
      </w:pPr>
      <w:r>
        <w:rPr>
          <w:rFonts w:ascii="仿宋_GB2312" w:hAnsi="仿宋_GB2312" w:eastAsia="仿宋_GB2312"/>
          <w:b/>
          <w:sz w:val="32"/>
        </w:rPr>
        <w:t>本年收入556.49万元，</w:t>
      </w:r>
      <w:r>
        <w:rPr>
          <w:rFonts w:ascii="仿宋_GB2312" w:hAnsi="仿宋_GB2312" w:eastAsia="仿宋_GB2312"/>
          <w:b w:val="0"/>
          <w:sz w:val="32"/>
        </w:rPr>
        <w:t>其中：财政拨款收入556.49万元，占100.00%；上级补助收入0.00万元，占0.00%；事业收入0.00万元，占0.00%；经营收入0.00万元，占0.00%；附属单位上缴收入0.00万元，占0.00%；其他收入0.00万元，占0.00%。</w:t>
      </w:r>
    </w:p>
    <w:p w14:paraId="6D865988">
      <w:pPr>
        <w:spacing w:line="640" w:lineRule="exact"/>
        <w:ind w:firstLine="640"/>
        <w:jc w:val="both"/>
        <w:outlineLvl w:val="2"/>
      </w:pPr>
      <w:r>
        <w:rPr>
          <w:rFonts w:ascii="黑体" w:hAnsi="黑体" w:eastAsia="黑体"/>
          <w:sz w:val="32"/>
        </w:rPr>
        <w:t>三、支出决算情况说明</w:t>
      </w:r>
    </w:p>
    <w:p w14:paraId="1CEEEDF8">
      <w:pPr>
        <w:spacing w:line="580" w:lineRule="exact"/>
        <w:ind w:firstLine="640"/>
        <w:jc w:val="both"/>
      </w:pPr>
      <w:r>
        <w:rPr>
          <w:rFonts w:ascii="仿宋_GB2312" w:hAnsi="仿宋_GB2312" w:eastAsia="仿宋_GB2312"/>
          <w:b/>
          <w:sz w:val="32"/>
        </w:rPr>
        <w:t>本年支出556.49万元，</w:t>
      </w:r>
      <w:r>
        <w:rPr>
          <w:rFonts w:ascii="仿宋_GB2312" w:hAnsi="仿宋_GB2312" w:eastAsia="仿宋_GB2312"/>
          <w:b w:val="0"/>
          <w:sz w:val="32"/>
        </w:rPr>
        <w:t>其中：基本支出452.52万元，占81.32%；项目支出103.97万元，占18.68%；上缴上级支出0.00万元，占0.00%；经营支出0.00万元，占0.00%；对附属单位补助支出0.00万元，占0.00%。</w:t>
      </w:r>
    </w:p>
    <w:p w14:paraId="4A2B24E7">
      <w:pPr>
        <w:spacing w:line="640" w:lineRule="exact"/>
        <w:ind w:firstLine="640"/>
        <w:jc w:val="both"/>
        <w:outlineLvl w:val="2"/>
      </w:pPr>
      <w:r>
        <w:rPr>
          <w:rFonts w:ascii="黑体" w:hAnsi="黑体" w:eastAsia="黑体"/>
          <w:sz w:val="32"/>
        </w:rPr>
        <w:t>四、财政拨款收入支出决算总体情况说明</w:t>
      </w:r>
    </w:p>
    <w:p w14:paraId="0FC4D5EB">
      <w:pPr>
        <w:spacing w:line="580" w:lineRule="exact"/>
        <w:ind w:firstLine="640"/>
        <w:jc w:val="both"/>
      </w:pPr>
      <w:r>
        <w:rPr>
          <w:rFonts w:ascii="仿宋_GB2312" w:hAnsi="仿宋_GB2312" w:eastAsia="仿宋_GB2312"/>
          <w:b/>
          <w:sz w:val="32"/>
        </w:rPr>
        <w:t>2024年度财政拨款收入总计556.49万元，</w:t>
      </w:r>
      <w:r>
        <w:rPr>
          <w:rFonts w:ascii="仿宋_GB2312" w:hAnsi="仿宋_GB2312" w:eastAsia="仿宋_GB2312"/>
          <w:b w:val="0"/>
          <w:sz w:val="32"/>
        </w:rPr>
        <w:t>其中：年初财政拨款结转和结余0.00万元，本年财政拨款收入556.49万元。</w:t>
      </w:r>
      <w:r>
        <w:rPr>
          <w:rFonts w:ascii="仿宋_GB2312" w:hAnsi="仿宋_GB2312" w:eastAsia="仿宋_GB2312"/>
          <w:b/>
          <w:sz w:val="32"/>
        </w:rPr>
        <w:t>财政拨款支出总计556.49万元，</w:t>
      </w:r>
      <w:r>
        <w:rPr>
          <w:rFonts w:ascii="仿宋_GB2312" w:hAnsi="仿宋_GB2312" w:eastAsia="仿宋_GB2312"/>
          <w:b w:val="0"/>
          <w:sz w:val="32"/>
        </w:rPr>
        <w:t>其中：年末财政拨款结转和结余0.00万元，本年财政拨款支出556.49万元。</w:t>
      </w:r>
    </w:p>
    <w:p w14:paraId="45861E5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减少35.47万元，下降5.99%，主要原因是：本年享受福利儿童减少，相关经费减少；本年较上年减少死亡抚恤金支出；本年减少孤残儿童照护护理补贴资金和“福彩圆梦”孤儿助学工程项目经费。</w:t>
      </w:r>
      <w:r>
        <w:rPr>
          <w:rFonts w:ascii="仿宋_GB2312" w:hAnsi="仿宋_GB2312" w:eastAsia="仿宋_GB2312"/>
          <w:b/>
          <w:sz w:val="32"/>
        </w:rPr>
        <w:t>与年初预算相比，</w:t>
      </w:r>
      <w:r>
        <w:rPr>
          <w:rFonts w:ascii="仿宋_GB2312" w:hAnsi="仿宋_GB2312" w:eastAsia="仿宋_GB2312"/>
          <w:b w:val="0"/>
          <w:sz w:val="32"/>
        </w:rPr>
        <w:t>年初预算数568.57万元，决算数556.49万元，预决算差异率-2.12%，主要原因是：福利儿童减少，相关经费减少，年中调减支出。</w:t>
      </w:r>
    </w:p>
    <w:p w14:paraId="5AECACCD">
      <w:pPr>
        <w:spacing w:line="640" w:lineRule="exact"/>
        <w:ind w:firstLine="640"/>
        <w:jc w:val="both"/>
        <w:outlineLvl w:val="2"/>
      </w:pPr>
      <w:r>
        <w:rPr>
          <w:rFonts w:ascii="黑体" w:hAnsi="黑体" w:eastAsia="黑体"/>
          <w:sz w:val="32"/>
        </w:rPr>
        <w:t>五、一般公共预算财政拨款支出决算情况说明</w:t>
      </w:r>
    </w:p>
    <w:p w14:paraId="486A65DC">
      <w:pPr>
        <w:spacing w:line="640" w:lineRule="exact"/>
        <w:ind w:firstLine="640"/>
        <w:jc w:val="both"/>
        <w:outlineLvl w:val="3"/>
      </w:pPr>
      <w:r>
        <w:rPr>
          <w:rFonts w:ascii="楷体_GB2312" w:hAnsi="楷体_GB2312" w:eastAsia="楷体_GB2312"/>
          <w:b/>
          <w:sz w:val="32"/>
        </w:rPr>
        <w:t>（一）一般公共预算财政拨款支出决算总体情况</w:t>
      </w:r>
    </w:p>
    <w:p w14:paraId="3EF373E4">
      <w:pPr>
        <w:spacing w:line="580" w:lineRule="exact"/>
        <w:ind w:firstLine="640"/>
        <w:jc w:val="both"/>
      </w:pPr>
      <w:r>
        <w:rPr>
          <w:rFonts w:ascii="仿宋_GB2312" w:hAnsi="仿宋_GB2312" w:eastAsia="仿宋_GB2312"/>
          <w:b/>
          <w:sz w:val="32"/>
        </w:rPr>
        <w:t>2024年度一般公共预算财政拨款支出545.69万元，</w:t>
      </w:r>
      <w:r>
        <w:rPr>
          <w:rFonts w:ascii="仿宋_GB2312" w:hAnsi="仿宋_GB2312" w:eastAsia="仿宋_GB2312"/>
          <w:b w:val="0"/>
          <w:sz w:val="32"/>
        </w:rPr>
        <w:t>占本年支出合计的98.06%。</w:t>
      </w:r>
      <w:r>
        <w:rPr>
          <w:rFonts w:ascii="仿宋_GB2312" w:hAnsi="仿宋_GB2312" w:eastAsia="仿宋_GB2312"/>
          <w:b/>
          <w:sz w:val="32"/>
        </w:rPr>
        <w:t>与上年相比，</w:t>
      </w:r>
      <w:r>
        <w:rPr>
          <w:rFonts w:ascii="仿宋_GB2312" w:hAnsi="仿宋_GB2312" w:eastAsia="仿宋_GB2312"/>
          <w:b w:val="0"/>
          <w:sz w:val="32"/>
        </w:rPr>
        <w:t>减少4.73万元，下降0.86%，主要原因是：本年享受福利儿童减少，相关经费减少；本年较上年减少死亡抚恤金支出。</w:t>
      </w:r>
      <w:r>
        <w:rPr>
          <w:rFonts w:ascii="仿宋_GB2312" w:hAnsi="仿宋_GB2312" w:eastAsia="仿宋_GB2312"/>
          <w:b/>
          <w:sz w:val="32"/>
        </w:rPr>
        <w:t>与年初预算相比,</w:t>
      </w:r>
      <w:r>
        <w:rPr>
          <w:rFonts w:ascii="仿宋_GB2312" w:hAnsi="仿宋_GB2312" w:eastAsia="仿宋_GB2312"/>
          <w:b w:val="0"/>
          <w:sz w:val="32"/>
        </w:rPr>
        <w:t>年初预算数556.57万元，决算数545.69万元，预决算差异率-1.95%，主要原因是：福利儿童减少，相关经费减少，年中调减支出。</w:t>
      </w:r>
    </w:p>
    <w:p w14:paraId="35D4ABED">
      <w:pPr>
        <w:spacing w:line="640" w:lineRule="exact"/>
        <w:ind w:firstLine="640"/>
        <w:jc w:val="both"/>
        <w:outlineLvl w:val="3"/>
      </w:pPr>
      <w:r>
        <w:rPr>
          <w:rFonts w:ascii="楷体_GB2312" w:hAnsi="楷体_GB2312" w:eastAsia="楷体_GB2312"/>
          <w:b/>
          <w:sz w:val="32"/>
        </w:rPr>
        <w:t>（二）一般公共预算财政拨款支出决算结构情况</w:t>
      </w:r>
    </w:p>
    <w:p w14:paraId="7F868669">
      <w:pPr>
        <w:spacing w:line="580" w:lineRule="exact"/>
        <w:ind w:firstLine="640"/>
        <w:jc w:val="both"/>
      </w:pPr>
      <w:r>
        <w:rPr>
          <w:rFonts w:ascii="仿宋_GB2312" w:hAnsi="仿宋_GB2312" w:eastAsia="仿宋_GB2312"/>
          <w:b w:val="0"/>
          <w:sz w:val="32"/>
        </w:rPr>
        <w:t>1.社会保障和就业支出(类)498.22万元,占91.30%。</w:t>
      </w:r>
    </w:p>
    <w:p w14:paraId="7AFEE58F">
      <w:pPr>
        <w:spacing w:line="580" w:lineRule="exact"/>
        <w:ind w:firstLine="640"/>
        <w:jc w:val="both"/>
      </w:pPr>
      <w:r>
        <w:rPr>
          <w:rFonts w:ascii="仿宋_GB2312" w:hAnsi="仿宋_GB2312" w:eastAsia="仿宋_GB2312"/>
          <w:b w:val="0"/>
          <w:sz w:val="32"/>
        </w:rPr>
        <w:t>2.卫生健康支出(类)13.73万元,占2.52%。</w:t>
      </w:r>
    </w:p>
    <w:p w14:paraId="27C83032">
      <w:pPr>
        <w:spacing w:line="580" w:lineRule="exact"/>
        <w:ind w:firstLine="640"/>
        <w:jc w:val="both"/>
      </w:pPr>
      <w:r>
        <w:rPr>
          <w:rFonts w:ascii="仿宋_GB2312" w:hAnsi="仿宋_GB2312" w:eastAsia="仿宋_GB2312"/>
          <w:b w:val="0"/>
          <w:sz w:val="32"/>
        </w:rPr>
        <w:t>3.住房保障支出(类)33.75万元,占6.18%。</w:t>
      </w:r>
    </w:p>
    <w:p w14:paraId="6B61A6E7">
      <w:pPr>
        <w:spacing w:line="640" w:lineRule="exact"/>
        <w:ind w:firstLine="640"/>
        <w:jc w:val="both"/>
        <w:outlineLvl w:val="3"/>
      </w:pPr>
      <w:r>
        <w:rPr>
          <w:rFonts w:ascii="楷体_GB2312" w:hAnsi="楷体_GB2312" w:eastAsia="楷体_GB2312"/>
          <w:b/>
          <w:sz w:val="32"/>
        </w:rPr>
        <w:t>（三）一般公共预算财政拨款支出决算具体情况</w:t>
      </w:r>
    </w:p>
    <w:p w14:paraId="6CE9C91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1.社会保障和就业支出(类)行政事业单位养老支出(款)事业单位离退休(项):支出决算数为17.36万元，比上年决算增加17.36万元，增长100.00%,主要原因是：本年发放退休人员2023年度绩效考核奖，相关支出比上年较多。</w:t>
      </w:r>
    </w:p>
    <w:p w14:paraId="4680079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42.50万元，比上年决算增加6.64万元，增长18.52%,主要原因是：人员工资基数调增，养老缴费基数上涨，相应支出增加。</w:t>
      </w:r>
    </w:p>
    <w:p w14:paraId="43603EE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5.01万元，下降100.00%,主要原因是：本年无新增退休、辞职、跨县调出人员，职业年金比上年减少。</w:t>
      </w:r>
    </w:p>
    <w:p w14:paraId="62DAFAE1">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4.社会保障和就业支出(类)抚恤(款)死亡抚恤(项):支出决算数为0.00万元，比上年决算减少10.44万元，下降100.00%,主要原因是：本年无死亡人员，死亡抚恤金比上年减少。</w:t>
      </w:r>
    </w:p>
    <w:p w14:paraId="569200AD">
      <w:pPr>
        <w:spacing w:line="580" w:lineRule="exact"/>
        <w:ind w:firstLine="640"/>
        <w:jc w:val="both"/>
      </w:pPr>
      <w:r>
        <w:rPr>
          <w:rFonts w:ascii="仿宋_GB2312" w:hAnsi="仿宋_GB2312" w:eastAsia="仿宋_GB2312"/>
          <w:b w:val="0"/>
          <w:sz w:val="32"/>
        </w:rPr>
        <w:t>5.社会保障和就业支出(类)社会福利(款)儿童福利(项):支出决算数为437.36万元，比上年决算减少24.37万元，下降5.28%,主要原因是：本年享受福利儿童减少，相关经费减少。</w:t>
      </w:r>
    </w:p>
    <w:p w14:paraId="353A393E">
      <w:pPr>
        <w:spacing w:line="580" w:lineRule="exact"/>
        <w:ind w:firstLine="640"/>
        <w:jc w:val="both"/>
      </w:pPr>
      <w:r>
        <w:rPr>
          <w:rFonts w:ascii="仿宋_GB2312" w:hAnsi="仿宋_GB2312" w:eastAsia="仿宋_GB2312"/>
          <w:b w:val="0"/>
          <w:sz w:val="32"/>
        </w:rPr>
        <w:t>6.社会保障和就业支出(类)其他生活救助(款)其他城市生活救助(项):支出决算数为1.00万元，比上年决算增加1.00万元，增长100.00%,主要原因是：本年增加孤儿生活救助项目经费。</w:t>
      </w:r>
    </w:p>
    <w:p w14:paraId="0F2D9B49">
      <w:pPr>
        <w:spacing w:line="580" w:lineRule="exact"/>
        <w:ind w:firstLine="640"/>
        <w:jc w:val="both"/>
      </w:pPr>
      <w:r>
        <w:rPr>
          <w:rFonts w:ascii="仿宋_GB2312" w:hAnsi="仿宋_GB2312" w:eastAsia="仿宋_GB2312"/>
          <w:b w:val="0"/>
          <w:sz w:val="32"/>
        </w:rPr>
        <w:t>7.卫生健康支出(类)行政事业单位医疗(款)事业单位医疗(项):支出决算数为13.73万元，比上年决算增加6.93万元，增长101.91%,主要原因是：本年在职人员工资医疗基数调增，医疗缴费基数上涨，相应支出增加。</w:t>
      </w:r>
    </w:p>
    <w:p w14:paraId="2178426B">
      <w:pPr>
        <w:spacing w:line="580" w:lineRule="exact"/>
        <w:ind w:firstLine="640"/>
        <w:jc w:val="both"/>
      </w:pPr>
      <w:r>
        <w:rPr>
          <w:rFonts w:ascii="仿宋_GB2312" w:hAnsi="仿宋_GB2312" w:eastAsia="仿宋_GB2312"/>
          <w:b w:val="0"/>
          <w:sz w:val="32"/>
        </w:rPr>
        <w:t>8.住房保障支出(类)住房改革支出(款)住房公积金(项):支出决算数为33.75万元，比上年决算增加3.16万元，增长10.33%,主要原因是：人员工资基数调增，公积金缴费基数上涨，相应支出增加。</w:t>
      </w:r>
    </w:p>
    <w:p w14:paraId="5F424E28">
      <w:pPr>
        <w:spacing w:line="640" w:lineRule="exact"/>
        <w:ind w:firstLine="640"/>
        <w:jc w:val="both"/>
        <w:outlineLvl w:val="2"/>
      </w:pPr>
      <w:r>
        <w:rPr>
          <w:rFonts w:ascii="黑体" w:hAnsi="黑体" w:eastAsia="黑体"/>
          <w:sz w:val="32"/>
        </w:rPr>
        <w:t>六、一般公共预算财政拨款基本支出决算情况说明</w:t>
      </w:r>
    </w:p>
    <w:p w14:paraId="5DBB0AEF">
      <w:pPr>
        <w:spacing w:line="580" w:lineRule="exact"/>
        <w:ind w:firstLine="640"/>
        <w:jc w:val="both"/>
      </w:pPr>
      <w:r>
        <w:rPr>
          <w:rFonts w:ascii="仿宋_GB2312" w:hAnsi="仿宋_GB2312" w:eastAsia="仿宋_GB2312"/>
          <w:b w:val="0"/>
          <w:sz w:val="32"/>
        </w:rPr>
        <w:t>2024年度一般公共预算财政拨款基本支出452.52万元，其中：</w:t>
      </w:r>
      <w:r>
        <w:rPr>
          <w:rFonts w:ascii="仿宋_GB2312" w:hAnsi="仿宋_GB2312" w:eastAsia="仿宋_GB2312"/>
          <w:b/>
          <w:sz w:val="32"/>
        </w:rPr>
        <w:t>人员经费418.57万元，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1939A1D3">
      <w:pPr>
        <w:spacing w:line="580" w:lineRule="exact"/>
        <w:ind w:firstLine="640"/>
        <w:jc w:val="both"/>
      </w:pPr>
      <w:r>
        <w:rPr>
          <w:rFonts w:ascii="仿宋_GB2312" w:hAnsi="仿宋_GB2312" w:eastAsia="仿宋_GB2312"/>
          <w:b/>
          <w:sz w:val="32"/>
        </w:rPr>
        <w:t>公用经费33.95万元，</w:t>
      </w:r>
      <w:r>
        <w:rPr>
          <w:rFonts w:ascii="仿宋_GB2312" w:hAnsi="仿宋_GB2312" w:eastAsia="仿宋_GB2312"/>
          <w:b w:val="0"/>
          <w:sz w:val="32"/>
        </w:rPr>
        <w:t>包括：办公费、印刷费、水费、电费、邮电费、取暖费、差旅费、公务用车运行维护费。</w:t>
      </w:r>
    </w:p>
    <w:p w14:paraId="60367D0A">
      <w:pPr>
        <w:spacing w:line="640" w:lineRule="exact"/>
        <w:ind w:firstLine="640"/>
        <w:jc w:val="both"/>
        <w:outlineLvl w:val="2"/>
      </w:pPr>
      <w:r>
        <w:rPr>
          <w:rFonts w:ascii="黑体" w:hAnsi="黑体" w:eastAsia="黑体"/>
          <w:sz w:val="32"/>
        </w:rPr>
        <w:t>七、政府性基金预算财政拨款收入支出决算情况说明</w:t>
      </w:r>
    </w:p>
    <w:p w14:paraId="47522781">
      <w:pPr>
        <w:spacing w:line="580" w:lineRule="exact"/>
        <w:ind w:firstLine="640"/>
        <w:jc w:val="both"/>
      </w:pPr>
      <w:r>
        <w:rPr>
          <w:rFonts w:ascii="仿宋_GB2312" w:hAnsi="仿宋_GB2312" w:eastAsia="仿宋_GB2312"/>
          <w:b/>
          <w:sz w:val="32"/>
        </w:rPr>
        <w:t>2024年度政府性基金预算财政拨款收入总计10.80万元，</w:t>
      </w:r>
      <w:r>
        <w:rPr>
          <w:rFonts w:ascii="仿宋_GB2312" w:hAnsi="仿宋_GB2312" w:eastAsia="仿宋_GB2312"/>
          <w:b w:val="0"/>
          <w:sz w:val="32"/>
        </w:rPr>
        <w:t>其中：年初结转和结余0.00万元，本年收入10.80万元。</w:t>
      </w:r>
      <w:r>
        <w:rPr>
          <w:rFonts w:ascii="仿宋_GB2312" w:hAnsi="仿宋_GB2312" w:eastAsia="仿宋_GB2312"/>
          <w:b/>
          <w:sz w:val="32"/>
        </w:rPr>
        <w:t>政府性基金预算财政拨款支出总计10.80万元，</w:t>
      </w:r>
      <w:r>
        <w:rPr>
          <w:rFonts w:ascii="仿宋_GB2312" w:hAnsi="仿宋_GB2312" w:eastAsia="仿宋_GB2312"/>
          <w:b w:val="0"/>
          <w:sz w:val="32"/>
        </w:rPr>
        <w:t>其中：年末结转和结余0.00万元，本年支出10.80万元。</w:t>
      </w:r>
    </w:p>
    <w:p w14:paraId="1993D02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减少30.74万元，下降74.00%，主要原因是：本年减少孤残儿童照护护理补贴资金和“福彩圆梦”孤儿助学工程项目经费。</w:t>
      </w:r>
      <w:r>
        <w:rPr>
          <w:rFonts w:ascii="仿宋_GB2312" w:hAnsi="仿宋_GB2312" w:eastAsia="仿宋_GB2312"/>
          <w:b/>
          <w:sz w:val="32"/>
        </w:rPr>
        <w:t>与年初预算相比，</w:t>
      </w:r>
      <w:r>
        <w:rPr>
          <w:rFonts w:ascii="仿宋_GB2312" w:hAnsi="仿宋_GB2312" w:eastAsia="仿宋_GB2312"/>
          <w:b w:val="0"/>
          <w:sz w:val="32"/>
        </w:rPr>
        <w:t>年初预算数12.00万元，决算数10.80万元，预决算差异率-10.00%，主要原因是：年中调减孤残儿童照护护理补贴资金和中央集中彩票公益金支持社会福利事业专项资金--“福彩圆梦”孤儿助学工程项目经费。</w:t>
      </w:r>
    </w:p>
    <w:p w14:paraId="2E892281">
      <w:pPr>
        <w:spacing w:line="580" w:lineRule="exact"/>
        <w:ind w:firstLine="640"/>
        <w:jc w:val="both"/>
      </w:pPr>
      <w:r>
        <w:rPr>
          <w:rFonts w:ascii="仿宋_GB2312" w:hAnsi="仿宋_GB2312" w:eastAsia="仿宋_GB2312"/>
          <w:b w:val="0"/>
          <w:sz w:val="32"/>
        </w:rPr>
        <w:t>政府性基金预算财政拨款支出10.80万元。</w:t>
      </w:r>
    </w:p>
    <w:p w14:paraId="3210DD81">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10.80万元，比上年决算减少30.74万元，下降74.00%,主要原因是：本年减少孤残儿童照护护理补贴资金和“福彩圆梦”孤儿助学工程项目经费。</w:t>
      </w:r>
    </w:p>
    <w:p w14:paraId="59BE5A86">
      <w:pPr>
        <w:spacing w:line="640" w:lineRule="exact"/>
        <w:ind w:firstLine="640"/>
        <w:jc w:val="both"/>
        <w:outlineLvl w:val="2"/>
      </w:pPr>
      <w:r>
        <w:rPr>
          <w:rFonts w:ascii="黑体" w:hAnsi="黑体" w:eastAsia="黑体"/>
          <w:sz w:val="32"/>
        </w:rPr>
        <w:t>八、国有资本经营预算财政拨款收入支出决算情况说明</w:t>
      </w:r>
    </w:p>
    <w:p w14:paraId="1CC83AD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964FC87">
      <w:pPr>
        <w:spacing w:line="640" w:lineRule="exact"/>
        <w:ind w:firstLine="640"/>
        <w:jc w:val="both"/>
        <w:outlineLvl w:val="2"/>
      </w:pPr>
      <w:r>
        <w:rPr>
          <w:rFonts w:ascii="黑体" w:hAnsi="黑体" w:eastAsia="黑体"/>
          <w:sz w:val="32"/>
        </w:rPr>
        <w:t>九、财政拨款“三公”经费支出决算情况说明</w:t>
      </w:r>
    </w:p>
    <w:p w14:paraId="6ACCDF96">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0.05万元，增长4.35%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1.20万元，占100.00%，比上年增加0.05万元，增长4.35%，主要原因是：本单位公务用车日渐老化，维修维护成本增加，导致公务用车运行维护费较上年增加。公务接待费支出0.00万元，占0.00%，比上年增加0.00万元，增长0.00%，主要原因是：2023年与2024年均未安排公务接待费支出。</w:t>
      </w:r>
    </w:p>
    <w:p w14:paraId="6E818685">
      <w:pPr>
        <w:spacing w:line="580" w:lineRule="exact"/>
        <w:ind w:firstLine="640"/>
        <w:jc w:val="both"/>
      </w:pPr>
      <w:r>
        <w:rPr>
          <w:rFonts w:ascii="仿宋_GB2312" w:hAnsi="仿宋_GB2312" w:eastAsia="仿宋_GB2312"/>
          <w:b/>
          <w:sz w:val="32"/>
        </w:rPr>
        <w:t>具体情况如下：</w:t>
      </w:r>
    </w:p>
    <w:p w14:paraId="798D434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D1CAB3">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保险费、过路费、维修费。公务用车购置数0辆，公务用车保有量1辆。国有资产占用情况中固定资产车辆1辆，与公务用车保有量差异原因是：本单位固定资产车辆与公务用车保有量一致无差异。</w:t>
      </w:r>
    </w:p>
    <w:p w14:paraId="06B896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17511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14:paraId="720D7D6D">
      <w:pPr>
        <w:spacing w:line="640" w:lineRule="exact"/>
        <w:ind w:firstLine="640"/>
        <w:jc w:val="both"/>
        <w:outlineLvl w:val="2"/>
      </w:pPr>
      <w:r>
        <w:rPr>
          <w:rFonts w:ascii="黑体" w:hAnsi="黑体" w:eastAsia="黑体"/>
          <w:sz w:val="32"/>
        </w:rPr>
        <w:t>十、其他重要事项的情况说明</w:t>
      </w:r>
    </w:p>
    <w:p w14:paraId="14265858">
      <w:pPr>
        <w:spacing w:line="640" w:lineRule="exact"/>
        <w:ind w:firstLine="640"/>
        <w:jc w:val="both"/>
        <w:outlineLvl w:val="3"/>
      </w:pPr>
      <w:r>
        <w:rPr>
          <w:rFonts w:ascii="楷体_GB2312" w:hAnsi="楷体_GB2312" w:eastAsia="楷体_GB2312"/>
          <w:b/>
          <w:sz w:val="32"/>
        </w:rPr>
        <w:t>（一）机关运行经费及公用经费支出情况</w:t>
      </w:r>
    </w:p>
    <w:p w14:paraId="241256C9">
      <w:pPr>
        <w:spacing w:line="580" w:lineRule="exact"/>
        <w:ind w:firstLine="640"/>
        <w:jc w:val="both"/>
      </w:pPr>
      <w:r>
        <w:rPr>
          <w:rFonts w:ascii="仿宋_GB2312" w:hAnsi="仿宋_GB2312" w:eastAsia="仿宋_GB2312"/>
          <w:b w:val="0"/>
          <w:sz w:val="32"/>
        </w:rPr>
        <w:t>2024年度阿图什市儿童福利院（事业单位）公用经费支出33.95万元，比上年增加20.20万元，增长146.91%，主要原因是：本年搬到新楼原因，相关办公费、水费、电费、取暖费较上年增长。</w:t>
      </w:r>
    </w:p>
    <w:p w14:paraId="32860F5A">
      <w:pPr>
        <w:spacing w:line="640" w:lineRule="exact"/>
        <w:ind w:firstLine="640"/>
        <w:jc w:val="both"/>
        <w:outlineLvl w:val="3"/>
      </w:pPr>
      <w:r>
        <w:rPr>
          <w:rFonts w:ascii="楷体_GB2312" w:hAnsi="楷体_GB2312" w:eastAsia="楷体_GB2312"/>
          <w:b/>
          <w:sz w:val="32"/>
        </w:rPr>
        <w:t>（二）政府采购情况</w:t>
      </w:r>
    </w:p>
    <w:p w14:paraId="357268C7">
      <w:pPr>
        <w:spacing w:line="580" w:lineRule="exact"/>
        <w:ind w:firstLine="640"/>
        <w:jc w:val="both"/>
      </w:pPr>
      <w:r>
        <w:rPr>
          <w:rFonts w:ascii="仿宋_GB2312" w:hAnsi="仿宋_GB2312" w:eastAsia="仿宋_GB2312"/>
          <w:b w:val="0"/>
          <w:sz w:val="32"/>
        </w:rPr>
        <w:t>2024年度政府采购支出总额72.43万元，其中：政府采购货物支出51.76万元、政府采购工程支出0.00万元、政府采购服务支出20.67万元。</w:t>
      </w:r>
    </w:p>
    <w:p w14:paraId="4B31582A">
      <w:pPr>
        <w:spacing w:line="580" w:lineRule="exact"/>
        <w:ind w:firstLine="640"/>
        <w:jc w:val="both"/>
      </w:pPr>
      <w:r>
        <w:rPr>
          <w:rFonts w:ascii="仿宋_GB2312" w:hAnsi="仿宋_GB2312" w:eastAsia="仿宋_GB2312"/>
          <w:b w:val="0"/>
          <w:sz w:val="32"/>
        </w:rPr>
        <w:t>授予中小企业合同金额69.86万元，占政府采购支出总额的96.45%，其中：授予小微企业合同金额64.94万元，占政府采购支出总额的89.66%。</w:t>
      </w:r>
    </w:p>
    <w:p w14:paraId="3502A04E">
      <w:pPr>
        <w:spacing w:line="640" w:lineRule="exact"/>
        <w:ind w:firstLine="640"/>
        <w:jc w:val="both"/>
        <w:outlineLvl w:val="3"/>
      </w:pPr>
      <w:r>
        <w:rPr>
          <w:rFonts w:ascii="楷体_GB2312" w:hAnsi="楷体_GB2312" w:eastAsia="楷体_GB2312"/>
          <w:b/>
          <w:sz w:val="32"/>
        </w:rPr>
        <w:t>（三）国有资产占用情况说明</w:t>
      </w:r>
    </w:p>
    <w:p w14:paraId="05DA3D46">
      <w:pPr>
        <w:spacing w:line="580" w:lineRule="exact"/>
        <w:ind w:firstLine="640"/>
        <w:jc w:val="both"/>
      </w:pPr>
      <w:r>
        <w:rPr>
          <w:rFonts w:ascii="仿宋_GB2312" w:hAnsi="仿宋_GB2312" w:eastAsia="仿宋_GB2312"/>
          <w:b w:val="0"/>
          <w:sz w:val="32"/>
        </w:rPr>
        <w:t>截至2024年12月31日，房屋3,877.62平方米，价值418.37万元。车辆1辆，价值20.58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E93ECE4">
      <w:pPr>
        <w:spacing w:line="640" w:lineRule="exact"/>
        <w:ind w:firstLine="640"/>
        <w:jc w:val="both"/>
        <w:outlineLvl w:val="2"/>
      </w:pPr>
      <w:r>
        <w:rPr>
          <w:rFonts w:ascii="黑体" w:hAnsi="黑体" w:eastAsia="黑体"/>
          <w:sz w:val="32"/>
        </w:rPr>
        <w:t>十一、预算绩效的情况说明</w:t>
      </w:r>
    </w:p>
    <w:p w14:paraId="6163F9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556.49万元，实际执行总额556.49万元；预算绩效评价项目4个，全年预算数105.68万元，全年执行数96.71万元。预算绩效管理取得的成效：为加强预算管理，规范财务行为，已制定各项管理制度，有效保障了高效履行工作职能，加强了制度建设，打牢绩效管理工作基础。发现的问题及原因：一是财政绩效管理有待提高。相关绩效管理方面专业知识的系统性学习有待加强。二是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4D2F013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25721E2">
        <w:tblPrEx>
          <w:tblCellMar>
            <w:top w:w="0" w:type="dxa"/>
            <w:left w:w="108" w:type="dxa"/>
            <w:bottom w:w="0" w:type="dxa"/>
            <w:right w:w="108" w:type="dxa"/>
          </w:tblCellMar>
        </w:tblPrEx>
        <w:tc>
          <w:tcPr>
            <w:tcW w:w="8840" w:type="dxa"/>
            <w:gridSpan w:val="8"/>
            <w:vAlign w:val="center"/>
          </w:tcPr>
          <w:p w14:paraId="6C6A4EE3">
            <w:pPr>
              <w:jc w:val="center"/>
            </w:pPr>
            <w:r>
              <w:rPr>
                <w:rFonts w:ascii="宋体" w:hAnsi="宋体" w:eastAsia="宋体"/>
                <w:sz w:val="24"/>
              </w:rPr>
              <w:t>单位整体支出绩效自评表</w:t>
            </w:r>
          </w:p>
        </w:tc>
      </w:tr>
      <w:tr w14:paraId="389D3D1C">
        <w:tblPrEx>
          <w:tblCellMar>
            <w:top w:w="0" w:type="dxa"/>
            <w:left w:w="108" w:type="dxa"/>
            <w:bottom w:w="0" w:type="dxa"/>
            <w:right w:w="108" w:type="dxa"/>
          </w:tblCellMar>
        </w:tblPrEx>
        <w:tc>
          <w:tcPr>
            <w:tcW w:w="8840" w:type="dxa"/>
            <w:gridSpan w:val="8"/>
            <w:vAlign w:val="center"/>
          </w:tcPr>
          <w:p w14:paraId="587324FD">
            <w:pPr>
              <w:jc w:val="center"/>
            </w:pPr>
            <w:r>
              <w:rPr>
                <w:rFonts w:ascii="宋体" w:hAnsi="宋体" w:eastAsia="宋体"/>
                <w:sz w:val="24"/>
              </w:rPr>
              <w:t>（2024年度）</w:t>
            </w:r>
          </w:p>
        </w:tc>
      </w:tr>
      <w:tr w14:paraId="1E998C0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8ECF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6669B">
            <w:pPr>
              <w:jc w:val="center"/>
            </w:pPr>
            <w:r>
              <w:rPr>
                <w:rFonts w:ascii="宋体" w:hAnsi="宋体" w:eastAsia="宋体"/>
                <w:sz w:val="16"/>
              </w:rPr>
              <w:t>阿图什市儿童福利院</w:t>
            </w:r>
          </w:p>
        </w:tc>
      </w:tr>
      <w:tr w14:paraId="0B046B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50D1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8D1C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E081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20C7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441C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C16A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56D1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3CA3A">
            <w:pPr>
              <w:jc w:val="center"/>
            </w:pPr>
            <w:r>
              <w:rPr>
                <w:rFonts w:ascii="宋体" w:hAnsi="宋体" w:eastAsia="宋体"/>
                <w:sz w:val="16"/>
              </w:rPr>
              <w:t>得分</w:t>
            </w:r>
          </w:p>
        </w:tc>
      </w:tr>
      <w:tr w14:paraId="0AEA90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48DC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11AC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A6BBB">
            <w:pPr>
              <w:jc w:val="center"/>
            </w:pPr>
            <w:r>
              <w:rPr>
                <w:rFonts w:ascii="宋体" w:hAnsi="宋体" w:eastAsia="宋体"/>
                <w:sz w:val="16"/>
              </w:rPr>
              <w:t>568.59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40A07">
            <w:pPr>
              <w:jc w:val="center"/>
            </w:pPr>
            <w:r>
              <w:rPr>
                <w:rFonts w:ascii="宋体" w:hAnsi="宋体" w:eastAsia="宋体"/>
                <w:sz w:val="16"/>
              </w:rPr>
              <w:t>556.49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2DF5D">
            <w:pPr>
              <w:jc w:val="center"/>
            </w:pPr>
            <w:r>
              <w:rPr>
                <w:rFonts w:ascii="宋体" w:hAnsi="宋体" w:eastAsia="宋体"/>
                <w:sz w:val="16"/>
              </w:rPr>
              <w:t>556.49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A6C3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662E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E9CBB">
            <w:pPr>
              <w:jc w:val="center"/>
              <w:rPr>
                <w:rFonts w:hint="default" w:eastAsia="宋体"/>
                <w:lang w:val="en-US" w:eastAsia="zh-CN"/>
              </w:rPr>
            </w:pPr>
            <w:r>
              <w:rPr>
                <w:rFonts w:hint="eastAsia" w:ascii="宋体" w:hAnsi="宋体"/>
                <w:sz w:val="16"/>
                <w:lang w:val="en-US" w:eastAsia="zh-CN"/>
              </w:rPr>
              <w:t>10</w:t>
            </w:r>
          </w:p>
        </w:tc>
      </w:tr>
      <w:tr w14:paraId="7E4712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5652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E96E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E3AFC">
            <w:pPr>
              <w:jc w:val="center"/>
            </w:pPr>
            <w:r>
              <w:rPr>
                <w:rFonts w:ascii="宋体" w:hAnsi="宋体" w:eastAsia="宋体"/>
                <w:sz w:val="16"/>
              </w:rPr>
              <w:t>65.68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8D2F2">
            <w:pPr>
              <w:jc w:val="center"/>
            </w:pPr>
            <w:r>
              <w:rPr>
                <w:rFonts w:ascii="宋体" w:hAnsi="宋体" w:eastAsia="宋体"/>
                <w:sz w:val="16"/>
              </w:rPr>
              <w:t>61.88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3909F">
            <w:pPr>
              <w:jc w:val="center"/>
            </w:pPr>
            <w:r>
              <w:rPr>
                <w:rFonts w:ascii="宋体" w:hAnsi="宋体" w:eastAsia="宋体"/>
                <w:sz w:val="16"/>
              </w:rPr>
              <w:t>61.88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D45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EE39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9A71E">
            <w:pPr>
              <w:jc w:val="center"/>
            </w:pPr>
            <w:r>
              <w:rPr>
                <w:rFonts w:ascii="宋体" w:hAnsi="宋体" w:eastAsia="宋体"/>
                <w:sz w:val="16"/>
              </w:rPr>
              <w:t>—</w:t>
            </w:r>
          </w:p>
        </w:tc>
      </w:tr>
      <w:tr w14:paraId="39387E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7179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1779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09734">
            <w:pPr>
              <w:jc w:val="center"/>
            </w:pPr>
            <w:r>
              <w:rPr>
                <w:rFonts w:ascii="宋体" w:hAnsi="宋体" w:eastAsia="宋体"/>
                <w:sz w:val="16"/>
              </w:rPr>
              <w:t>502.91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90B65">
            <w:pPr>
              <w:jc w:val="center"/>
            </w:pPr>
            <w:r>
              <w:rPr>
                <w:rFonts w:ascii="宋体" w:hAnsi="宋体" w:eastAsia="宋体"/>
                <w:sz w:val="16"/>
              </w:rPr>
              <w:t>494.61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C01C0">
            <w:pPr>
              <w:jc w:val="center"/>
            </w:pPr>
            <w:r>
              <w:rPr>
                <w:rFonts w:ascii="宋体" w:hAnsi="宋体" w:eastAsia="宋体"/>
                <w:sz w:val="16"/>
              </w:rPr>
              <w:t>494.61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1AA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63C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A75D1">
            <w:pPr>
              <w:jc w:val="center"/>
            </w:pPr>
            <w:r>
              <w:rPr>
                <w:rFonts w:ascii="宋体" w:hAnsi="宋体" w:eastAsia="宋体"/>
                <w:sz w:val="16"/>
              </w:rPr>
              <w:t>—</w:t>
            </w:r>
          </w:p>
        </w:tc>
      </w:tr>
      <w:tr w14:paraId="4C50DB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CE4D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1EF6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1710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E14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682F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7A12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BE4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56774">
            <w:pPr>
              <w:jc w:val="center"/>
            </w:pPr>
            <w:r>
              <w:rPr>
                <w:rFonts w:ascii="宋体" w:hAnsi="宋体" w:eastAsia="宋体"/>
                <w:sz w:val="16"/>
              </w:rPr>
              <w:t>—</w:t>
            </w:r>
          </w:p>
        </w:tc>
      </w:tr>
      <w:tr w14:paraId="655B8E7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A441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194BF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8FB1A9">
            <w:pPr>
              <w:jc w:val="center"/>
            </w:pPr>
            <w:r>
              <w:rPr>
                <w:rFonts w:ascii="宋体" w:hAnsi="宋体" w:eastAsia="宋体"/>
                <w:sz w:val="16"/>
              </w:rPr>
              <w:t>实际完成情况</w:t>
            </w:r>
          </w:p>
        </w:tc>
      </w:tr>
      <w:tr w14:paraId="1E8C97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3A0AF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A9AFF8">
            <w:pPr>
              <w:jc w:val="both"/>
            </w:pPr>
            <w:r>
              <w:rPr>
                <w:rFonts w:ascii="宋体" w:hAnsi="宋体" w:eastAsia="宋体"/>
                <w:sz w:val="16"/>
              </w:rPr>
              <w:t xml:space="preserve">单位基本职能：1.收养本地区孤儿，并为其提供养护、医疗、康复、教育、 安置等服务。2.承担本地区孤儿养育状况评估工作，协助民政部门开展孤 儿和困境儿童福利服务指导工作。3.参与孤残儿童监护人培训，指导各地开展孤残儿童康复和困境儿童家庭养育技能培训工作。 </w:t>
            </w:r>
            <w:r>
              <w:rPr>
                <w:rFonts w:ascii="宋体" w:hAnsi="宋体" w:eastAsia="宋体"/>
                <w:sz w:val="16"/>
              </w:rPr>
              <w:br w:type="textWrapping"/>
            </w:r>
            <w:r>
              <w:rPr>
                <w:rFonts w:ascii="宋体" w:hAnsi="宋体" w:eastAsia="宋体"/>
                <w:sz w:val="16"/>
              </w:rPr>
              <w:t xml:space="preserve">机构设置及人员配置：无下属预算单位，下设4个科室，编制数25，实有人数38人，在职25人，退休13人。 </w:t>
            </w:r>
            <w:r>
              <w:rPr>
                <w:rFonts w:ascii="宋体" w:hAnsi="宋体" w:eastAsia="宋体"/>
                <w:sz w:val="16"/>
              </w:rPr>
              <w:br w:type="textWrapping"/>
            </w:r>
            <w:r>
              <w:rPr>
                <w:rFonts w:ascii="宋体" w:hAnsi="宋体" w:eastAsia="宋体"/>
                <w:sz w:val="16"/>
              </w:rPr>
              <w:t xml:space="preserve">中长期规划：推动儿童福利工作顺利开展，全力保障了孤儿、困境儿童与健康家庭儿童一样健康成长，实现孤儿不孤，困境不困，切实增强特殊困难群体的获得感和幸福感，筑牢社会保障安全网。 </w:t>
            </w:r>
            <w:r>
              <w:rPr>
                <w:rFonts w:ascii="宋体" w:hAnsi="宋体" w:eastAsia="宋体"/>
                <w:sz w:val="16"/>
              </w:rPr>
              <w:br w:type="textWrapping"/>
            </w:r>
            <w:r>
              <w:rPr>
                <w:rFonts w:ascii="宋体" w:hAnsi="宋体" w:eastAsia="宋体"/>
                <w:sz w:val="16"/>
              </w:rPr>
              <w:t xml:space="preserve">    </w:t>
            </w:r>
            <w:r>
              <w:rPr>
                <w:rFonts w:hint="eastAsia" w:ascii="宋体" w:hAnsi="宋体"/>
                <w:sz w:val="16"/>
                <w:lang w:eastAsia="zh-CN"/>
              </w:rPr>
              <w:t>把</w:t>
            </w:r>
            <w:r>
              <w:rPr>
                <w:rFonts w:ascii="宋体" w:hAnsi="宋体" w:eastAsia="宋体"/>
                <w:sz w:val="16"/>
              </w:rPr>
              <w:t>关爱社会的工作深入下去，进一步提高孩子们的生活质量，提高儿童的幸福感，对孩</w:t>
            </w:r>
            <w:r>
              <w:rPr>
                <w:rFonts w:hint="eastAsia" w:ascii="宋体" w:hAnsi="宋体"/>
                <w:sz w:val="16"/>
                <w:lang w:eastAsia="zh-CN"/>
              </w:rPr>
              <w:t>子的</w:t>
            </w:r>
            <w:r>
              <w:rPr>
                <w:rFonts w:ascii="宋体" w:hAnsi="宋体" w:eastAsia="宋体"/>
                <w:sz w:val="16"/>
              </w:rPr>
              <w:t>关爱放在首位，长久持续地开展下去，让更多的孩子有归属感。</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1A6891">
            <w:pPr>
              <w:jc w:val="both"/>
            </w:pPr>
            <w:r>
              <w:rPr>
                <w:rFonts w:ascii="宋体" w:hAnsi="宋体" w:eastAsia="宋体"/>
                <w:sz w:val="16"/>
              </w:rPr>
              <w:t>本单位共计支出556.49万元，用于保障部门在职25人，退休13人的工资福利、各项补助正常发放及部门单位正常运转，单位预算项目根据年初计划均已完成，对关爱社会的工作深入下去，进一步提高孩子们的生活质量，提高儿童的幸福感，对孩子关爱放在首位，长久持续</w:t>
            </w:r>
            <w:r>
              <w:rPr>
                <w:rFonts w:hint="eastAsia" w:ascii="宋体" w:hAnsi="宋体"/>
                <w:sz w:val="16"/>
                <w:lang w:eastAsia="zh-CN"/>
              </w:rPr>
              <w:t>地</w:t>
            </w:r>
            <w:r>
              <w:rPr>
                <w:rFonts w:ascii="宋体" w:hAnsi="宋体" w:eastAsia="宋体"/>
                <w:sz w:val="16"/>
              </w:rPr>
              <w:t xml:space="preserve">开展下去，让更多的孩子有归属感，年度任务中完成工作人员综合能力提升培训4次等目标。 </w:t>
            </w:r>
          </w:p>
        </w:tc>
      </w:tr>
      <w:tr w14:paraId="506A3A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B06E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756C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DE45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1D26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DC39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53EE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F6C7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62CB7">
            <w:pPr>
              <w:jc w:val="center"/>
            </w:pPr>
            <w:r>
              <w:rPr>
                <w:rFonts w:ascii="宋体" w:hAnsi="宋体" w:eastAsia="宋体"/>
                <w:sz w:val="16"/>
              </w:rPr>
              <w:t>得分</w:t>
            </w:r>
          </w:p>
        </w:tc>
      </w:tr>
      <w:tr w14:paraId="76C140C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D0A2C">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FC8FA">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2596D">
            <w:pPr>
              <w:jc w:val="center"/>
            </w:pPr>
            <w:r>
              <w:rPr>
                <w:rFonts w:ascii="宋体" w:hAnsi="宋体" w:eastAsia="宋体"/>
                <w:sz w:val="16"/>
              </w:rPr>
              <w:t>工作人员国语合格率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4719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D0DC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9CD5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2A40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A8F52">
            <w:pPr>
              <w:jc w:val="center"/>
            </w:pPr>
            <w:r>
              <w:rPr>
                <w:rFonts w:ascii="宋体" w:hAnsi="宋体" w:eastAsia="宋体"/>
                <w:sz w:val="16"/>
              </w:rPr>
              <w:t>18</w:t>
            </w:r>
          </w:p>
        </w:tc>
      </w:tr>
      <w:tr w14:paraId="3EAF8A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FE8CC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CA58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C9A31">
            <w:pPr>
              <w:jc w:val="center"/>
            </w:pPr>
            <w:r>
              <w:rPr>
                <w:rFonts w:ascii="宋体" w:hAnsi="宋体" w:eastAsia="宋体"/>
                <w:sz w:val="16"/>
              </w:rPr>
              <w:t>工作人员综合能力提升培训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0FBCD">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66A6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B332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029CD">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B3DEF">
            <w:pPr>
              <w:jc w:val="center"/>
            </w:pPr>
            <w:r>
              <w:rPr>
                <w:rFonts w:ascii="宋体" w:hAnsi="宋体" w:eastAsia="宋体"/>
                <w:sz w:val="16"/>
              </w:rPr>
              <w:t>18</w:t>
            </w:r>
          </w:p>
        </w:tc>
      </w:tr>
      <w:tr w14:paraId="03AB39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FB9F1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AE4A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4D1C6">
            <w:pPr>
              <w:jc w:val="center"/>
            </w:pPr>
            <w:r>
              <w:rPr>
                <w:rFonts w:ascii="宋体" w:hAnsi="宋体" w:eastAsia="宋体"/>
                <w:sz w:val="16"/>
              </w:rPr>
              <w:t>安全生产检查覆盖率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885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9F69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65CA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BCB3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516FB">
            <w:pPr>
              <w:jc w:val="center"/>
            </w:pPr>
            <w:r>
              <w:rPr>
                <w:rFonts w:ascii="宋体" w:hAnsi="宋体" w:eastAsia="宋体"/>
                <w:sz w:val="16"/>
              </w:rPr>
              <w:t>18</w:t>
            </w:r>
          </w:p>
        </w:tc>
      </w:tr>
      <w:tr w14:paraId="376F24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154B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0B87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BAFC9">
            <w:pPr>
              <w:jc w:val="center"/>
            </w:pPr>
            <w:r>
              <w:rPr>
                <w:rFonts w:ascii="宋体" w:hAnsi="宋体" w:eastAsia="宋体"/>
                <w:sz w:val="16"/>
              </w:rPr>
              <w:t>儿童疫苗接种率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ABC9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26FC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52B7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D63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DBF01">
            <w:pPr>
              <w:jc w:val="center"/>
            </w:pPr>
            <w:r>
              <w:rPr>
                <w:rFonts w:ascii="宋体" w:hAnsi="宋体" w:eastAsia="宋体"/>
                <w:sz w:val="16"/>
              </w:rPr>
              <w:t>18</w:t>
            </w:r>
          </w:p>
        </w:tc>
      </w:tr>
      <w:tr w14:paraId="4F5674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9B63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4A11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61ED8">
            <w:pPr>
              <w:jc w:val="center"/>
            </w:pPr>
            <w:r>
              <w:rPr>
                <w:rFonts w:ascii="宋体" w:hAnsi="宋体" w:eastAsia="宋体"/>
                <w:sz w:val="16"/>
              </w:rPr>
              <w:t>儿童体检覆盖率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1BE4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3D82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564B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ECBB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EEFA1">
            <w:pPr>
              <w:jc w:val="center"/>
            </w:pPr>
            <w:r>
              <w:rPr>
                <w:rFonts w:ascii="宋体" w:hAnsi="宋体" w:eastAsia="宋体"/>
                <w:sz w:val="16"/>
              </w:rPr>
              <w:t>18</w:t>
            </w:r>
          </w:p>
        </w:tc>
      </w:tr>
    </w:tbl>
    <w:p w14:paraId="3FF9B2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4FDE65D">
        <w:tblPrEx>
          <w:tblCellMar>
            <w:top w:w="0" w:type="dxa"/>
            <w:left w:w="108" w:type="dxa"/>
            <w:bottom w:w="0" w:type="dxa"/>
            <w:right w:w="108" w:type="dxa"/>
          </w:tblCellMar>
        </w:tblPrEx>
        <w:tc>
          <w:tcPr>
            <w:tcW w:w="8848" w:type="dxa"/>
            <w:gridSpan w:val="14"/>
            <w:vAlign w:val="center"/>
          </w:tcPr>
          <w:p w14:paraId="35CB5A06">
            <w:pPr>
              <w:jc w:val="center"/>
            </w:pPr>
            <w:r>
              <w:rPr>
                <w:rFonts w:ascii="宋体" w:hAnsi="宋体" w:eastAsia="宋体"/>
                <w:sz w:val="24"/>
              </w:rPr>
              <w:t>项目支出绩效自评表</w:t>
            </w:r>
          </w:p>
        </w:tc>
      </w:tr>
      <w:tr w14:paraId="107946FB">
        <w:tblPrEx>
          <w:tblCellMar>
            <w:top w:w="0" w:type="dxa"/>
            <w:left w:w="108" w:type="dxa"/>
            <w:bottom w:w="0" w:type="dxa"/>
            <w:right w:w="108" w:type="dxa"/>
          </w:tblCellMar>
        </w:tblPrEx>
        <w:tc>
          <w:tcPr>
            <w:tcW w:w="8848" w:type="dxa"/>
            <w:gridSpan w:val="14"/>
            <w:vAlign w:val="center"/>
          </w:tcPr>
          <w:p w14:paraId="7E498BD5">
            <w:pPr>
              <w:jc w:val="center"/>
            </w:pPr>
            <w:r>
              <w:rPr>
                <w:rFonts w:ascii="宋体" w:hAnsi="宋体" w:eastAsia="宋体"/>
                <w:sz w:val="24"/>
              </w:rPr>
              <w:t>(2024年度)</w:t>
            </w:r>
          </w:p>
        </w:tc>
      </w:tr>
      <w:tr w14:paraId="7BC7B1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BD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17AE4E">
            <w:pPr>
              <w:jc w:val="center"/>
            </w:pPr>
            <w:r>
              <w:rPr>
                <w:rFonts w:ascii="宋体" w:hAnsi="宋体" w:eastAsia="宋体"/>
                <w:sz w:val="16"/>
              </w:rPr>
              <w:t>2024年中央财政困难群众救助补助项目</w:t>
            </w:r>
          </w:p>
        </w:tc>
      </w:tr>
      <w:tr w14:paraId="565F58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3B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E901AE">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E3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731945">
            <w:pPr>
              <w:jc w:val="center"/>
            </w:pPr>
            <w:r>
              <w:rPr>
                <w:rFonts w:ascii="宋体" w:hAnsi="宋体" w:eastAsia="宋体"/>
                <w:sz w:val="16"/>
              </w:rPr>
              <w:t>阿图什市儿童福利院</w:t>
            </w:r>
          </w:p>
        </w:tc>
      </w:tr>
      <w:tr w14:paraId="769C5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208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C289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BFC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FC7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94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8D7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B7E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77AF">
            <w:pPr>
              <w:jc w:val="center"/>
            </w:pPr>
            <w:r>
              <w:rPr>
                <w:rFonts w:ascii="宋体" w:hAnsi="宋体" w:eastAsia="宋体"/>
                <w:sz w:val="16"/>
              </w:rPr>
              <w:t>得分</w:t>
            </w:r>
          </w:p>
        </w:tc>
      </w:tr>
      <w:tr w14:paraId="65AB2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A0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A9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9CBB1">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C99D0">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EC32C">
            <w:pPr>
              <w:jc w:val="center"/>
            </w:pPr>
            <w:r>
              <w:rPr>
                <w:rFonts w:ascii="宋体" w:hAnsi="宋体" w:eastAsia="宋体"/>
                <w:sz w:val="16"/>
              </w:rPr>
              <w:t>50.08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ED2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1A54">
            <w:pPr>
              <w:jc w:val="center"/>
            </w:pPr>
            <w:r>
              <w:rPr>
                <w:rFonts w:ascii="宋体" w:hAnsi="宋体" w:eastAsia="宋体"/>
                <w:sz w:val="16"/>
              </w:rPr>
              <w:t>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EDB9">
            <w:pPr>
              <w:jc w:val="center"/>
            </w:pPr>
            <w:r>
              <w:rPr>
                <w:rFonts w:ascii="宋体" w:hAnsi="宋体" w:eastAsia="宋体"/>
                <w:sz w:val="16"/>
              </w:rPr>
              <w:t>10.00分</w:t>
            </w:r>
          </w:p>
        </w:tc>
      </w:tr>
      <w:tr w14:paraId="395B9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0AA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6DC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EF47F">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E5ED8">
            <w:pPr>
              <w:jc w:val="center"/>
            </w:pPr>
            <w:r>
              <w:rPr>
                <w:rFonts w:ascii="宋体" w:hAnsi="宋体" w:eastAsia="宋体"/>
                <w:sz w:val="16"/>
              </w:rPr>
              <w:t>53.68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1A982">
            <w:pPr>
              <w:jc w:val="center"/>
            </w:pPr>
            <w:r>
              <w:rPr>
                <w:rFonts w:ascii="宋体" w:hAnsi="宋体" w:eastAsia="宋体"/>
                <w:sz w:val="16"/>
              </w:rPr>
              <w:t>50.08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0B5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54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FDA6">
            <w:pPr>
              <w:jc w:val="center"/>
            </w:pPr>
            <w:r>
              <w:rPr>
                <w:rFonts w:ascii="宋体" w:hAnsi="宋体" w:eastAsia="宋体"/>
                <w:sz w:val="16"/>
              </w:rPr>
              <w:t>—</w:t>
            </w:r>
          </w:p>
        </w:tc>
      </w:tr>
      <w:tr w14:paraId="39BF0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993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D9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2A9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3D4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241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44F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BC2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15B5">
            <w:pPr>
              <w:jc w:val="center"/>
            </w:pPr>
            <w:r>
              <w:rPr>
                <w:rFonts w:ascii="宋体" w:hAnsi="宋体" w:eastAsia="宋体"/>
                <w:sz w:val="16"/>
              </w:rPr>
              <w:t>—</w:t>
            </w:r>
          </w:p>
        </w:tc>
      </w:tr>
      <w:tr w14:paraId="2AFFE2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4567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7204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29C0EF">
            <w:pPr>
              <w:jc w:val="center"/>
            </w:pPr>
            <w:r>
              <w:rPr>
                <w:rFonts w:ascii="宋体" w:hAnsi="宋体" w:eastAsia="宋体"/>
                <w:sz w:val="16"/>
              </w:rPr>
              <w:t>实际完成情况</w:t>
            </w:r>
          </w:p>
        </w:tc>
      </w:tr>
      <w:tr w14:paraId="47BB5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B76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DBA43B">
            <w:pPr>
              <w:jc w:val="both"/>
            </w:pPr>
            <w:r>
              <w:rPr>
                <w:rFonts w:ascii="宋体" w:hAnsi="宋体" w:eastAsia="宋体"/>
                <w:sz w:val="16"/>
              </w:rPr>
              <w:t>根据《关于提前下达2024年中央财政困难群众救助补助资金预算的通知》克财社</w:t>
            </w:r>
            <w:r>
              <w:rPr>
                <w:rFonts w:hint="eastAsia" w:ascii="宋体" w:hAnsi="宋体"/>
                <w:sz w:val="16"/>
                <w:lang w:eastAsia="zh-CN"/>
              </w:rPr>
              <w:t>〔2023〕85号</w:t>
            </w:r>
            <w:r>
              <w:rPr>
                <w:rFonts w:ascii="宋体" w:hAnsi="宋体" w:eastAsia="宋体"/>
                <w:sz w:val="16"/>
              </w:rPr>
              <w:t xml:space="preserve">文件，下达资金53.68万元，主要用于提高孤儿生活保障水平，确保孤儿生活保障政策规范高效实施，使孤儿、艾滋病病毒感染儿童和事实无人抚养儿童生活基本得到保障；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31F45F">
            <w:pPr>
              <w:jc w:val="both"/>
            </w:pPr>
            <w:r>
              <w:rPr>
                <w:rFonts w:ascii="宋体" w:hAnsi="宋体" w:eastAsia="宋体"/>
                <w:sz w:val="16"/>
              </w:rPr>
              <w:t xml:space="preserve">根据《关于提前下达2024年中央财政困难群众救助补助资金预算的通知》克财社〔2023〕85号文件，下达资金53.68万元，本项目共计支出50.0825万元，用于提高孤儿生活保障水平；通过实施本项目保障政策规范高效实施，使孤儿、艾滋病病毒感染儿童和事实无人抚养儿童生活基本得到保障。 </w:t>
            </w:r>
          </w:p>
        </w:tc>
      </w:tr>
      <w:tr w14:paraId="4AA3B7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7EF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37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E6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2A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1E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BF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69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B2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12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C0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0B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4F9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BA6F7">
            <w:pPr>
              <w:jc w:val="center"/>
            </w:pPr>
            <w:r>
              <w:rPr>
                <w:rFonts w:ascii="宋体" w:hAnsi="宋体" w:eastAsia="宋体"/>
                <w:sz w:val="16"/>
              </w:rPr>
              <w:t>偏差原因分析及改进措施</w:t>
            </w:r>
          </w:p>
        </w:tc>
      </w:tr>
      <w:tr w14:paraId="3A489E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016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E4F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ADA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4C2A">
            <w:pPr>
              <w:jc w:val="center"/>
            </w:pPr>
            <w:r>
              <w:rPr>
                <w:rFonts w:ascii="宋体" w:hAnsi="宋体" w:eastAsia="宋体"/>
                <w:sz w:val="16"/>
              </w:rPr>
              <w:t>孤儿、艾滋病病毒感染儿童、生活困难家庭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D3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9F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F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6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5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3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F9B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CA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00B38">
            <w:pPr>
              <w:jc w:val="center"/>
            </w:pPr>
          </w:p>
        </w:tc>
      </w:tr>
      <w:tr w14:paraId="3715C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D7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38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08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A302">
            <w:pPr>
              <w:jc w:val="center"/>
            </w:pPr>
            <w:r>
              <w:rPr>
                <w:rFonts w:ascii="宋体" w:hAnsi="宋体" w:eastAsia="宋体"/>
                <w:sz w:val="16"/>
              </w:rPr>
              <w:t>患病残疾儿童救助率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C26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F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EE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C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0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9E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85C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17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B24E">
            <w:pPr>
              <w:jc w:val="center"/>
            </w:pPr>
          </w:p>
        </w:tc>
      </w:tr>
      <w:tr w14:paraId="7F9E4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CF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A4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1A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0D02">
            <w:pPr>
              <w:jc w:val="center"/>
            </w:pPr>
            <w:r>
              <w:rPr>
                <w:rFonts w:ascii="宋体" w:hAnsi="宋体" w:eastAsia="宋体"/>
                <w:sz w:val="16"/>
              </w:rPr>
              <w:t>孤儿、艾滋病病毒感染儿童、事实无人抚养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564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6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98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23C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6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9C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7F5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D3A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3D75A">
            <w:pPr>
              <w:jc w:val="center"/>
            </w:pPr>
          </w:p>
        </w:tc>
      </w:tr>
      <w:tr w14:paraId="68249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64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3C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DC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1A1C">
            <w:pPr>
              <w:jc w:val="center"/>
            </w:pPr>
            <w:r>
              <w:rPr>
                <w:rFonts w:ascii="宋体" w:hAnsi="宋体" w:eastAsia="宋体"/>
                <w:sz w:val="16"/>
              </w:rPr>
              <w:t>困难群众基本生活救助和孤儿基本生活费拨付率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CC8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1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0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E6D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39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F1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434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25B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0F957">
            <w:pPr>
              <w:jc w:val="center"/>
            </w:pPr>
          </w:p>
        </w:tc>
      </w:tr>
      <w:tr w14:paraId="22B2B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D8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A6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C7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B87A">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4577">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9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E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3D3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44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0B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C99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739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AAC3">
            <w:pPr>
              <w:jc w:val="center"/>
            </w:pPr>
          </w:p>
        </w:tc>
      </w:tr>
      <w:tr w14:paraId="7EE05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1A9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A861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122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45C7">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1132">
            <w:pPr>
              <w:jc w:val="center"/>
            </w:pPr>
            <w:r>
              <w:rPr>
                <w:rFonts w:ascii="宋体" w:hAnsi="宋体" w:eastAsia="宋体"/>
                <w:sz w:val="16"/>
              </w:rPr>
              <w:t>&gt;=82%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B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7E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CB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CE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4A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CD29">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C4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EBA0">
            <w:pPr>
              <w:jc w:val="center"/>
            </w:pPr>
          </w:p>
        </w:tc>
      </w:tr>
      <w:tr w14:paraId="7F22A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A3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E9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EC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1A47">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0C2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7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F5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24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26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624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1CF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16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702F">
            <w:pPr>
              <w:jc w:val="center"/>
            </w:pPr>
          </w:p>
        </w:tc>
      </w:tr>
      <w:tr w14:paraId="227A90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FCD7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241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243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732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DB301B"/>
        </w:tc>
      </w:tr>
    </w:tbl>
    <w:p w14:paraId="1ECFE2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5B9AA0F">
        <w:tc>
          <w:tcPr>
            <w:tcW w:w="8848" w:type="dxa"/>
            <w:gridSpan w:val="14"/>
            <w:vAlign w:val="center"/>
          </w:tcPr>
          <w:p w14:paraId="3F192084">
            <w:pPr>
              <w:jc w:val="center"/>
            </w:pPr>
            <w:r>
              <w:rPr>
                <w:rFonts w:ascii="宋体" w:hAnsi="宋体" w:eastAsia="宋体"/>
                <w:sz w:val="24"/>
              </w:rPr>
              <w:t>项目支出绩效自评表</w:t>
            </w:r>
          </w:p>
        </w:tc>
      </w:tr>
      <w:tr w14:paraId="4995339E">
        <w:tblPrEx>
          <w:tblCellMar>
            <w:top w:w="0" w:type="dxa"/>
            <w:left w:w="108" w:type="dxa"/>
            <w:bottom w:w="0" w:type="dxa"/>
            <w:right w:w="108" w:type="dxa"/>
          </w:tblCellMar>
        </w:tblPrEx>
        <w:tc>
          <w:tcPr>
            <w:tcW w:w="8848" w:type="dxa"/>
            <w:gridSpan w:val="14"/>
            <w:vAlign w:val="center"/>
          </w:tcPr>
          <w:p w14:paraId="2BBEC602">
            <w:pPr>
              <w:jc w:val="center"/>
            </w:pPr>
            <w:r>
              <w:rPr>
                <w:rFonts w:ascii="宋体" w:hAnsi="宋体" w:eastAsia="宋体"/>
                <w:sz w:val="24"/>
              </w:rPr>
              <w:t>(2024年度)</w:t>
            </w:r>
          </w:p>
        </w:tc>
      </w:tr>
      <w:tr w14:paraId="7142AE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4B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803525">
            <w:pPr>
              <w:jc w:val="center"/>
            </w:pPr>
            <w:r>
              <w:rPr>
                <w:rFonts w:ascii="宋体" w:hAnsi="宋体" w:eastAsia="宋体"/>
                <w:sz w:val="16"/>
              </w:rPr>
              <w:t>2024年自治区财政政府购买儿童照护服务项目</w:t>
            </w:r>
          </w:p>
        </w:tc>
      </w:tr>
      <w:tr w14:paraId="481715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9C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2327E">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04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226399">
            <w:pPr>
              <w:jc w:val="center"/>
            </w:pPr>
            <w:r>
              <w:rPr>
                <w:rFonts w:ascii="宋体" w:hAnsi="宋体" w:eastAsia="宋体"/>
                <w:sz w:val="16"/>
              </w:rPr>
              <w:t>阿图什市儿童福利院</w:t>
            </w:r>
          </w:p>
        </w:tc>
      </w:tr>
      <w:tr w14:paraId="7BA417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4D8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42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87E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AC0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4F8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EBE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154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7A43">
            <w:pPr>
              <w:jc w:val="center"/>
            </w:pPr>
            <w:r>
              <w:rPr>
                <w:rFonts w:ascii="宋体" w:hAnsi="宋体" w:eastAsia="宋体"/>
                <w:sz w:val="16"/>
              </w:rPr>
              <w:t>得分</w:t>
            </w:r>
          </w:p>
        </w:tc>
      </w:tr>
      <w:tr w14:paraId="7D74F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054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2E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6A26F">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98D6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FF3E9">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7F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A30BF">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FE5D">
            <w:pPr>
              <w:jc w:val="center"/>
            </w:pPr>
            <w:r>
              <w:rPr>
                <w:rFonts w:ascii="宋体" w:hAnsi="宋体" w:eastAsia="宋体"/>
                <w:sz w:val="16"/>
              </w:rPr>
              <w:t>7.50分</w:t>
            </w:r>
          </w:p>
        </w:tc>
      </w:tr>
      <w:tr w14:paraId="5DF3A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76C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25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B20E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5D4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9D33">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51C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0E0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6D03">
            <w:pPr>
              <w:jc w:val="center"/>
            </w:pPr>
            <w:r>
              <w:rPr>
                <w:rFonts w:ascii="宋体" w:hAnsi="宋体" w:eastAsia="宋体"/>
                <w:sz w:val="16"/>
              </w:rPr>
              <w:t>—</w:t>
            </w:r>
          </w:p>
        </w:tc>
      </w:tr>
      <w:tr w14:paraId="01FD80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9DC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978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742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A2D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4DF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FB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F50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0A37">
            <w:pPr>
              <w:jc w:val="center"/>
            </w:pPr>
            <w:r>
              <w:rPr>
                <w:rFonts w:ascii="宋体" w:hAnsi="宋体" w:eastAsia="宋体"/>
                <w:sz w:val="16"/>
              </w:rPr>
              <w:t>—</w:t>
            </w:r>
          </w:p>
        </w:tc>
      </w:tr>
      <w:tr w14:paraId="1D4673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DBC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D45E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38F4F4">
            <w:pPr>
              <w:jc w:val="center"/>
            </w:pPr>
            <w:r>
              <w:rPr>
                <w:rFonts w:ascii="宋体" w:hAnsi="宋体" w:eastAsia="宋体"/>
                <w:sz w:val="16"/>
              </w:rPr>
              <w:t>实际完成情况</w:t>
            </w:r>
          </w:p>
        </w:tc>
      </w:tr>
      <w:tr w14:paraId="180C0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9CA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F50AC8">
            <w:pPr>
              <w:jc w:val="both"/>
            </w:pPr>
            <w:r>
              <w:rPr>
                <w:rFonts w:ascii="宋体" w:hAnsi="宋体" w:eastAsia="宋体"/>
                <w:sz w:val="16"/>
              </w:rPr>
              <w:t>根据《关于提前下达2024年自治区此证政府购买儿童照护服务项目补贴资金预算的通知》克财社</w:t>
            </w:r>
            <w:r>
              <w:rPr>
                <w:rFonts w:hint="eastAsia" w:ascii="宋体" w:hAnsi="宋体"/>
                <w:sz w:val="16"/>
                <w:lang w:eastAsia="zh-CN"/>
              </w:rPr>
              <w:t>〔2023〕108号</w:t>
            </w:r>
            <w:r>
              <w:rPr>
                <w:rFonts w:ascii="宋体" w:hAnsi="宋体" w:eastAsia="宋体"/>
                <w:sz w:val="16"/>
              </w:rPr>
              <w:t>文件，下达资金12万元，用于对机构内儿童、机构外残疾</w:t>
            </w:r>
            <w:r>
              <w:rPr>
                <w:rFonts w:hint="eastAsia" w:ascii="宋体" w:hAnsi="宋体"/>
                <w:sz w:val="16"/>
                <w:lang w:eastAsia="zh-CN"/>
              </w:rPr>
              <w:t>儿童</w:t>
            </w:r>
            <w:r>
              <w:rPr>
                <w:rFonts w:ascii="宋体" w:hAnsi="宋体" w:eastAsia="宋体"/>
                <w:sz w:val="16"/>
              </w:rPr>
              <w:t xml:space="preserve">提供生活照料、康复训练、送医就诊、生病看护等；满足残疾儿童的照料、护理、康复、心理疏导，提高儿童的幸福感、获得感；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F4CA76">
            <w:pPr>
              <w:jc w:val="both"/>
            </w:pPr>
            <w:r>
              <w:rPr>
                <w:rFonts w:ascii="宋体" w:hAnsi="宋体" w:eastAsia="宋体"/>
                <w:sz w:val="16"/>
              </w:rPr>
              <w:t>根据《关于提前下达2024年自治区此证政府购买儿童照护服务项目补贴资金预算的通知》克财社〔2023〕108号文件，下达资金12万元，本项目共计支出10.8万元，用于对机构内儿童、机构外残疾</w:t>
            </w:r>
            <w:r>
              <w:rPr>
                <w:rFonts w:hint="eastAsia" w:ascii="宋体" w:hAnsi="宋体"/>
                <w:sz w:val="16"/>
                <w:lang w:eastAsia="zh-CN"/>
              </w:rPr>
              <w:t>儿童</w:t>
            </w:r>
            <w:r>
              <w:rPr>
                <w:rFonts w:ascii="宋体" w:hAnsi="宋体" w:eastAsia="宋体"/>
                <w:sz w:val="16"/>
              </w:rPr>
              <w:t xml:space="preserve">提供生活照料、康复训练、送医就诊、生病看护等；通过实施本项目满足残疾儿童的照料、护理、康复、心理疏导，提高儿童的幸福感、获得感。 </w:t>
            </w:r>
          </w:p>
        </w:tc>
      </w:tr>
      <w:tr w14:paraId="1813BF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96C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4A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4F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C3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F90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A9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B4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46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D6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7F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D5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AC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09F24">
            <w:pPr>
              <w:jc w:val="center"/>
            </w:pPr>
            <w:r>
              <w:rPr>
                <w:rFonts w:ascii="宋体" w:hAnsi="宋体" w:eastAsia="宋体"/>
                <w:sz w:val="16"/>
              </w:rPr>
              <w:t>偏差原因分析及改进措施</w:t>
            </w:r>
          </w:p>
        </w:tc>
      </w:tr>
      <w:tr w14:paraId="2AF7A3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CED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AF8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6D9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5806">
            <w:pPr>
              <w:jc w:val="center"/>
            </w:pPr>
            <w:r>
              <w:rPr>
                <w:rFonts w:ascii="宋体" w:hAnsi="宋体" w:eastAsia="宋体"/>
                <w:sz w:val="16"/>
              </w:rPr>
              <w:t>辐射儿童机构数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E90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2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12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3A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82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0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9A3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94B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625C3">
            <w:pPr>
              <w:jc w:val="center"/>
            </w:pPr>
          </w:p>
        </w:tc>
      </w:tr>
      <w:tr w14:paraId="68C0C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53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A9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73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7CDC">
            <w:pPr>
              <w:jc w:val="center"/>
            </w:pPr>
            <w:r>
              <w:rPr>
                <w:rFonts w:ascii="宋体" w:hAnsi="宋体" w:eastAsia="宋体"/>
                <w:sz w:val="16"/>
              </w:rPr>
              <w:t>参与服务项目的工作人员人数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53B4">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0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F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1C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18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E5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77CE">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D4D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0C92E">
            <w:pPr>
              <w:jc w:val="center"/>
            </w:pPr>
          </w:p>
        </w:tc>
      </w:tr>
      <w:tr w14:paraId="5B220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42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5A5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ED4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4C7A">
            <w:pPr>
              <w:jc w:val="center"/>
            </w:pPr>
            <w:r>
              <w:rPr>
                <w:rFonts w:ascii="宋体" w:hAnsi="宋体" w:eastAsia="宋体"/>
                <w:sz w:val="16"/>
              </w:rPr>
              <w:t>资金使用安全率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E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1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1B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51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6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1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5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111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1F6B8">
            <w:pPr>
              <w:jc w:val="center"/>
            </w:pPr>
          </w:p>
        </w:tc>
      </w:tr>
      <w:tr w14:paraId="7B44D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385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87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69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D009">
            <w:pPr>
              <w:jc w:val="center"/>
            </w:pPr>
            <w:r>
              <w:rPr>
                <w:rFonts w:ascii="宋体" w:hAnsi="宋体" w:eastAsia="宋体"/>
                <w:sz w:val="16"/>
              </w:rPr>
              <w:t>享受照护服务对象覆盖率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B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41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A3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B7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14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A7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F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77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ACB08">
            <w:pPr>
              <w:jc w:val="center"/>
            </w:pPr>
          </w:p>
        </w:tc>
      </w:tr>
      <w:tr w14:paraId="5BB0D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13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0B4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C44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6C4E">
            <w:pPr>
              <w:jc w:val="center"/>
            </w:pPr>
            <w:r>
              <w:rPr>
                <w:rFonts w:ascii="宋体" w:hAnsi="宋体" w:eastAsia="宋体"/>
                <w:sz w:val="16"/>
              </w:rPr>
              <w:t>照护服务开展及时率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F8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4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56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70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76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7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D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989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28A5">
            <w:pPr>
              <w:jc w:val="center"/>
            </w:pPr>
          </w:p>
        </w:tc>
      </w:tr>
      <w:tr w14:paraId="425B4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92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19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FE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85B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9BB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80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CA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46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7F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7E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89E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E3A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C728E">
            <w:pPr>
              <w:jc w:val="center"/>
            </w:pPr>
          </w:p>
        </w:tc>
      </w:tr>
      <w:tr w14:paraId="3E85B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F79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BE5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532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D983">
            <w:pPr>
              <w:jc w:val="center"/>
            </w:pPr>
            <w:r>
              <w:rPr>
                <w:rFonts w:ascii="宋体" w:hAnsi="宋体" w:eastAsia="宋体"/>
                <w:sz w:val="16"/>
              </w:rPr>
              <w:t>残疾儿童和机构内0-3岁儿童照护服务标准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A844">
            <w:pPr>
              <w:jc w:val="center"/>
            </w:pPr>
            <w:r>
              <w:rPr>
                <w:rFonts w:ascii="宋体" w:hAnsi="宋体" w:eastAsia="宋体"/>
                <w:sz w:val="16"/>
              </w:rPr>
              <w:t>&lt;=1300元/人/月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E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41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79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F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81F7">
            <w:pPr>
              <w:jc w:val="center"/>
            </w:pPr>
            <w:r>
              <w:rPr>
                <w:rFonts w:ascii="宋体" w:hAnsi="宋体" w:eastAsia="宋体"/>
                <w:sz w:val="16"/>
              </w:rPr>
              <w:t>工作资料</w:t>
            </w:r>
            <w:bookmarkStart w:id="0" w:name="_GoBack"/>
            <w:r>
              <w:rPr>
                <w:rFonts w:ascii="宋体" w:hAnsi="宋体" w:eastAsia="宋体"/>
                <w:sz w:val="16"/>
              </w:rPr>
              <w:t>,</w:t>
            </w:r>
            <w:bookmarkEnd w:id="0"/>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EA11">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A7C9">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E4A94">
            <w:pPr>
              <w:jc w:val="center"/>
            </w:pPr>
            <w:r>
              <w:rPr>
                <w:rFonts w:ascii="宋体" w:hAnsi="宋体" w:eastAsia="宋体"/>
                <w:sz w:val="16"/>
              </w:rPr>
              <w:t>原因：根据实际情况进行支出，剩余资金结转至2025年支出；措施：下一年度做好项目管理，提高工作执行进度，减少偏差。</w:t>
            </w:r>
          </w:p>
        </w:tc>
      </w:tr>
      <w:tr w14:paraId="2E35F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A59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CA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BF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3BAD">
            <w:pPr>
              <w:jc w:val="center"/>
            </w:pPr>
            <w:r>
              <w:rPr>
                <w:rFonts w:ascii="宋体" w:hAnsi="宋体" w:eastAsia="宋体"/>
                <w:sz w:val="16"/>
              </w:rPr>
              <w:t>残疾儿童和机构内3-6岁儿童照护服务标准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177F">
            <w:pPr>
              <w:jc w:val="center"/>
            </w:pPr>
            <w:r>
              <w:rPr>
                <w:rFonts w:ascii="宋体" w:hAnsi="宋体" w:eastAsia="宋体"/>
                <w:sz w:val="16"/>
              </w:rPr>
              <w:t>&lt;=400元/人/月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A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7A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B5C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95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439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8C52">
            <w:pPr>
              <w:jc w:val="center"/>
            </w:pPr>
            <w:r>
              <w:rPr>
                <w:rFonts w:ascii="宋体" w:hAnsi="宋体" w:eastAsia="宋体"/>
                <w:sz w:val="16"/>
              </w:rPr>
              <w: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09D2">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DA6F">
            <w:pPr>
              <w:jc w:val="center"/>
            </w:pPr>
            <w:r>
              <w:rPr>
                <w:rFonts w:ascii="宋体" w:hAnsi="宋体" w:eastAsia="宋体"/>
                <w:sz w:val="16"/>
              </w:rPr>
              <w:t>原因：根据实际情况进行支出，剩余资金结转至2025年支出；措施：下一年度做好项目管理，提高工作执行进度，减少偏差。</w:t>
            </w:r>
          </w:p>
        </w:tc>
      </w:tr>
      <w:tr w14:paraId="2FEBA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1B9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49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687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8E51">
            <w:pPr>
              <w:jc w:val="center"/>
            </w:pPr>
            <w:r>
              <w:rPr>
                <w:rFonts w:ascii="宋体" w:hAnsi="宋体" w:eastAsia="宋体"/>
                <w:sz w:val="16"/>
              </w:rPr>
              <w:t>机构内6岁以上健康儿童照护服务标准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A770">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D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9D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B8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1C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D88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35F7">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40BE">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6F7E1">
            <w:pPr>
              <w:jc w:val="center"/>
            </w:pPr>
            <w:r>
              <w:rPr>
                <w:rFonts w:ascii="宋体" w:hAnsi="宋体" w:eastAsia="宋体"/>
                <w:sz w:val="16"/>
              </w:rPr>
              <w:t>原因：根据实际情况进行支出，剩余资金结转至2025年支出；措施：下一年度做好项目管理，提高工作执行进度，减少偏差。</w:t>
            </w:r>
          </w:p>
        </w:tc>
      </w:tr>
      <w:tr w14:paraId="0CECB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D4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39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D9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478F">
            <w:pPr>
              <w:jc w:val="center"/>
            </w:pPr>
            <w:r>
              <w:rPr>
                <w:rFonts w:ascii="宋体" w:hAnsi="宋体" w:eastAsia="宋体"/>
                <w:sz w:val="16"/>
              </w:rPr>
              <w:t>对儿童的照料、康复、护理、心理辅导水平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00D0">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FD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CD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12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EB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C3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3AC1">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52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4B10">
            <w:pPr>
              <w:jc w:val="center"/>
            </w:pPr>
          </w:p>
        </w:tc>
      </w:tr>
      <w:tr w14:paraId="0F530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7CD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75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6D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6C64">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1A1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8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7F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2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65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53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89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7D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208A7">
            <w:pPr>
              <w:jc w:val="center"/>
            </w:pPr>
          </w:p>
        </w:tc>
      </w:tr>
      <w:tr w14:paraId="0FF630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0DD0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86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3A8A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31AE">
            <w:pPr>
              <w:jc w:val="center"/>
            </w:pPr>
            <w:r>
              <w:rPr>
                <w:rFonts w:ascii="宋体" w:hAnsi="宋体" w:eastAsia="宋体"/>
                <w:sz w:val="16"/>
              </w:rPr>
              <w:t>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EA445D"/>
        </w:tc>
      </w:tr>
    </w:tbl>
    <w:p w14:paraId="279784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D9E52B5">
        <w:tblPrEx>
          <w:tblCellMar>
            <w:top w:w="0" w:type="dxa"/>
            <w:left w:w="108" w:type="dxa"/>
            <w:bottom w:w="0" w:type="dxa"/>
            <w:right w:w="108" w:type="dxa"/>
          </w:tblCellMar>
        </w:tblPrEx>
        <w:tc>
          <w:tcPr>
            <w:tcW w:w="8848" w:type="dxa"/>
            <w:gridSpan w:val="14"/>
            <w:vAlign w:val="center"/>
          </w:tcPr>
          <w:p w14:paraId="353F3EEF">
            <w:pPr>
              <w:jc w:val="center"/>
            </w:pPr>
            <w:r>
              <w:rPr>
                <w:rFonts w:ascii="宋体" w:hAnsi="宋体" w:eastAsia="宋体"/>
                <w:sz w:val="24"/>
              </w:rPr>
              <w:t>项目支出绩效自评表</w:t>
            </w:r>
          </w:p>
        </w:tc>
      </w:tr>
      <w:tr w14:paraId="6018663C">
        <w:tblPrEx>
          <w:tblCellMar>
            <w:top w:w="0" w:type="dxa"/>
            <w:left w:w="108" w:type="dxa"/>
            <w:bottom w:w="0" w:type="dxa"/>
            <w:right w:w="108" w:type="dxa"/>
          </w:tblCellMar>
        </w:tblPrEx>
        <w:tc>
          <w:tcPr>
            <w:tcW w:w="8848" w:type="dxa"/>
            <w:gridSpan w:val="14"/>
            <w:vAlign w:val="center"/>
          </w:tcPr>
          <w:p w14:paraId="44E263D1">
            <w:pPr>
              <w:jc w:val="center"/>
            </w:pPr>
            <w:r>
              <w:rPr>
                <w:rFonts w:ascii="宋体" w:hAnsi="宋体" w:eastAsia="宋体"/>
                <w:sz w:val="24"/>
              </w:rPr>
              <w:t>(2024年度)</w:t>
            </w:r>
          </w:p>
        </w:tc>
      </w:tr>
      <w:tr w14:paraId="714BB2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30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821EFE">
            <w:pPr>
              <w:jc w:val="center"/>
            </w:pPr>
            <w:r>
              <w:rPr>
                <w:rFonts w:ascii="宋体" w:hAnsi="宋体" w:eastAsia="宋体"/>
                <w:sz w:val="16"/>
              </w:rPr>
              <w:t>儿童上下学接送费</w:t>
            </w:r>
          </w:p>
        </w:tc>
      </w:tr>
      <w:tr w14:paraId="48852A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87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7C300">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D8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185D29">
            <w:pPr>
              <w:jc w:val="center"/>
            </w:pPr>
            <w:r>
              <w:rPr>
                <w:rFonts w:ascii="宋体" w:hAnsi="宋体" w:eastAsia="宋体"/>
                <w:sz w:val="16"/>
              </w:rPr>
              <w:t>阿图什市儿童福利院</w:t>
            </w:r>
          </w:p>
        </w:tc>
      </w:tr>
      <w:tr w14:paraId="2CBDE6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AD9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B8D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E4C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233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745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1EE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45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44DE">
            <w:pPr>
              <w:jc w:val="center"/>
            </w:pPr>
            <w:r>
              <w:rPr>
                <w:rFonts w:ascii="宋体" w:hAnsi="宋体" w:eastAsia="宋体"/>
                <w:sz w:val="16"/>
              </w:rPr>
              <w:t>得分</w:t>
            </w:r>
          </w:p>
        </w:tc>
      </w:tr>
      <w:tr w14:paraId="51871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06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154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5C6F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4042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88C7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3E1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C9A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C60B">
            <w:pPr>
              <w:jc w:val="center"/>
            </w:pPr>
            <w:r>
              <w:rPr>
                <w:rFonts w:ascii="宋体" w:hAnsi="宋体" w:eastAsia="宋体"/>
                <w:sz w:val="16"/>
              </w:rPr>
              <w:t>10.00分</w:t>
            </w:r>
          </w:p>
        </w:tc>
      </w:tr>
      <w:tr w14:paraId="77538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E27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B9A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828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1C2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BE6B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F54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BA6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CFAA">
            <w:pPr>
              <w:jc w:val="center"/>
            </w:pPr>
            <w:r>
              <w:rPr>
                <w:rFonts w:ascii="宋体" w:hAnsi="宋体" w:eastAsia="宋体"/>
                <w:sz w:val="16"/>
              </w:rPr>
              <w:t>—</w:t>
            </w:r>
          </w:p>
        </w:tc>
      </w:tr>
      <w:tr w14:paraId="228B1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15A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E2C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206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A14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F74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1D1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C6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3212">
            <w:pPr>
              <w:jc w:val="center"/>
            </w:pPr>
            <w:r>
              <w:rPr>
                <w:rFonts w:ascii="宋体" w:hAnsi="宋体" w:eastAsia="宋体"/>
                <w:sz w:val="16"/>
              </w:rPr>
              <w:t>—</w:t>
            </w:r>
          </w:p>
        </w:tc>
      </w:tr>
      <w:tr w14:paraId="2DF17A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B58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450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F0327">
            <w:pPr>
              <w:jc w:val="center"/>
            </w:pPr>
            <w:r>
              <w:rPr>
                <w:rFonts w:ascii="宋体" w:hAnsi="宋体" w:eastAsia="宋体"/>
                <w:sz w:val="16"/>
              </w:rPr>
              <w:t>实际完成情况</w:t>
            </w:r>
          </w:p>
        </w:tc>
      </w:tr>
      <w:tr w14:paraId="5ED67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BD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46F16">
            <w:pPr>
              <w:jc w:val="both"/>
            </w:pPr>
            <w:r>
              <w:rPr>
                <w:rFonts w:ascii="宋体" w:hAnsi="宋体" w:eastAsia="宋体"/>
                <w:sz w:val="16"/>
              </w:rPr>
              <w:t>根据《阿图什市儿童福利院预算申请》，项目安排资金15万元，主要用于在教学期内接送儿童，期限10个月；通过项目的实施，做好群众服务工作，保障福利院儿童上学工作得到保障；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10333">
            <w:pPr>
              <w:jc w:val="both"/>
            </w:pPr>
            <w:r>
              <w:rPr>
                <w:rFonts w:ascii="宋体" w:hAnsi="宋体" w:eastAsia="宋体"/>
                <w:sz w:val="16"/>
              </w:rPr>
              <w:t>本项目共计支出15万元，用于在教学期内接送儿童30人，期限10个月；通过实施本项目做好群众服务工作，保障福利院儿童上学工作得到保障。</w:t>
            </w:r>
          </w:p>
        </w:tc>
      </w:tr>
      <w:tr w14:paraId="3C1422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4AC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B9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85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86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7B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40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81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E3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AA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E4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38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C6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82B28">
            <w:pPr>
              <w:jc w:val="center"/>
            </w:pPr>
            <w:r>
              <w:rPr>
                <w:rFonts w:ascii="宋体" w:hAnsi="宋体" w:eastAsia="宋体"/>
                <w:sz w:val="16"/>
              </w:rPr>
              <w:t>偏差原因分析及改进措施</w:t>
            </w:r>
          </w:p>
        </w:tc>
      </w:tr>
      <w:tr w14:paraId="3F193E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E9B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340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35E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CD6A">
            <w:pPr>
              <w:jc w:val="center"/>
            </w:pPr>
            <w:r>
              <w:rPr>
                <w:rFonts w:ascii="宋体" w:hAnsi="宋体" w:eastAsia="宋体"/>
                <w:sz w:val="16"/>
              </w:rPr>
              <w:t>上学儿童人数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77D1">
            <w:pPr>
              <w:jc w:val="center"/>
            </w:pPr>
            <w:r>
              <w:rPr>
                <w:rFonts w:ascii="宋体" w:hAnsi="宋体" w:eastAsia="宋体"/>
                <w:sz w:val="16"/>
              </w:rPr>
              <w:t>&gt;=35人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AD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9E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C6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0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47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0071">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8D11">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1540">
            <w:pPr>
              <w:jc w:val="center"/>
            </w:pPr>
            <w:r>
              <w:rPr>
                <w:rFonts w:ascii="宋体" w:hAnsi="宋体" w:eastAsia="宋体"/>
                <w:sz w:val="16"/>
              </w:rPr>
              <w:t>原因：年中有5人退院，该指标未完成；措施：下一年度做好计划及项目管理，减少实施过程中的偏差。</w:t>
            </w:r>
          </w:p>
        </w:tc>
      </w:tr>
      <w:tr w14:paraId="4F51D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E4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B5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73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1362">
            <w:pPr>
              <w:jc w:val="center"/>
            </w:pPr>
            <w:r>
              <w:rPr>
                <w:rFonts w:ascii="宋体" w:hAnsi="宋体" w:eastAsia="宋体"/>
                <w:sz w:val="16"/>
              </w:rPr>
              <w:t>儿童上下学接送期限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695D">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1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E2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2F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B9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83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62E8">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8EA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92C34">
            <w:pPr>
              <w:jc w:val="center"/>
            </w:pPr>
          </w:p>
        </w:tc>
      </w:tr>
      <w:tr w14:paraId="58877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CF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96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5A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3133">
            <w:pPr>
              <w:jc w:val="center"/>
            </w:pPr>
            <w:r>
              <w:rPr>
                <w:rFonts w:ascii="宋体" w:hAnsi="宋体" w:eastAsia="宋体"/>
                <w:sz w:val="16"/>
              </w:rPr>
              <w:t>租赁大巴车数量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E9B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0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9D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80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E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B3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20A7">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58F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585D7">
            <w:pPr>
              <w:jc w:val="center"/>
            </w:pPr>
          </w:p>
        </w:tc>
      </w:tr>
      <w:tr w14:paraId="171B1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58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AE1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E98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858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6F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3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1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05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E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8C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80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B14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9BF4">
            <w:pPr>
              <w:jc w:val="center"/>
            </w:pPr>
          </w:p>
        </w:tc>
      </w:tr>
      <w:tr w14:paraId="2D361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747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41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05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932AB">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5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F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5F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74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AE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17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8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467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14821">
            <w:pPr>
              <w:jc w:val="center"/>
            </w:pPr>
          </w:p>
        </w:tc>
      </w:tr>
      <w:tr w14:paraId="5EFA6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B7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31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B0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C06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64B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AA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19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22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AF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56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459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488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6FB6">
            <w:pPr>
              <w:jc w:val="center"/>
            </w:pPr>
          </w:p>
        </w:tc>
      </w:tr>
      <w:tr w14:paraId="54A1D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7A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43A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0E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E459">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C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4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E2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08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51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6C5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37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EB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CDD57">
            <w:pPr>
              <w:jc w:val="center"/>
            </w:pPr>
          </w:p>
        </w:tc>
      </w:tr>
      <w:tr w14:paraId="5631C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FB7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2F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6D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36F1">
            <w:pPr>
              <w:jc w:val="center"/>
            </w:pPr>
            <w:r>
              <w:rPr>
                <w:rFonts w:ascii="宋体" w:hAnsi="宋体" w:eastAsia="宋体"/>
                <w:sz w:val="16"/>
              </w:rPr>
              <w:t>保障儿童工作正常运转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B97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02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7C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7D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43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1C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B45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AE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D5DAB">
            <w:pPr>
              <w:jc w:val="center"/>
            </w:pPr>
          </w:p>
        </w:tc>
      </w:tr>
      <w:tr w14:paraId="21AAE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EE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67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BF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0FCD">
            <w:pPr>
              <w:jc w:val="center"/>
            </w:pPr>
            <w:r>
              <w:rPr>
                <w:rFonts w:ascii="宋体" w:hAnsi="宋体" w:eastAsia="宋体"/>
                <w:sz w:val="16"/>
              </w:rPr>
              <w:t>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E2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6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9D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0C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11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2E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15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D4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66C75">
            <w:pPr>
              <w:jc w:val="center"/>
            </w:pPr>
          </w:p>
        </w:tc>
      </w:tr>
      <w:tr w14:paraId="1324AFD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0CB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A3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79C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5661">
            <w:pPr>
              <w:jc w:val="center"/>
            </w:pPr>
            <w:r>
              <w:rPr>
                <w:rFonts w:ascii="宋体" w:hAnsi="宋体" w:eastAsia="宋体"/>
                <w:sz w:val="16"/>
              </w:rPr>
              <w:t>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08D6A2"/>
        </w:tc>
      </w:tr>
    </w:tbl>
    <w:p w14:paraId="13AD50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39711F05">
        <w:tblPrEx>
          <w:tblCellMar>
            <w:top w:w="0" w:type="dxa"/>
            <w:left w:w="108" w:type="dxa"/>
            <w:bottom w:w="0" w:type="dxa"/>
            <w:right w:w="108" w:type="dxa"/>
          </w:tblCellMar>
        </w:tblPrEx>
        <w:tc>
          <w:tcPr>
            <w:tcW w:w="8848" w:type="dxa"/>
            <w:gridSpan w:val="14"/>
            <w:vAlign w:val="center"/>
          </w:tcPr>
          <w:p w14:paraId="68271A3A">
            <w:pPr>
              <w:jc w:val="center"/>
            </w:pPr>
            <w:r>
              <w:rPr>
                <w:rFonts w:ascii="宋体" w:hAnsi="宋体" w:eastAsia="宋体"/>
                <w:sz w:val="24"/>
              </w:rPr>
              <w:t>项目支出绩效自评表</w:t>
            </w:r>
          </w:p>
        </w:tc>
      </w:tr>
      <w:tr w14:paraId="567FAE6F">
        <w:tblPrEx>
          <w:tblCellMar>
            <w:top w:w="0" w:type="dxa"/>
            <w:left w:w="108" w:type="dxa"/>
            <w:bottom w:w="0" w:type="dxa"/>
            <w:right w:w="108" w:type="dxa"/>
          </w:tblCellMar>
        </w:tblPrEx>
        <w:tc>
          <w:tcPr>
            <w:tcW w:w="8848" w:type="dxa"/>
            <w:gridSpan w:val="14"/>
            <w:vAlign w:val="center"/>
          </w:tcPr>
          <w:p w14:paraId="0BB7FAAB">
            <w:pPr>
              <w:jc w:val="center"/>
            </w:pPr>
            <w:r>
              <w:rPr>
                <w:rFonts w:ascii="宋体" w:hAnsi="宋体" w:eastAsia="宋体"/>
                <w:sz w:val="24"/>
              </w:rPr>
              <w:t>(2024年度)</w:t>
            </w:r>
          </w:p>
        </w:tc>
      </w:tr>
      <w:tr w14:paraId="6A8888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79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768E1A">
            <w:pPr>
              <w:jc w:val="center"/>
            </w:pPr>
            <w:r>
              <w:rPr>
                <w:rFonts w:ascii="宋体" w:hAnsi="宋体" w:eastAsia="宋体"/>
                <w:sz w:val="16"/>
              </w:rPr>
              <w:t>孤儿集中供养运转费</w:t>
            </w:r>
          </w:p>
        </w:tc>
      </w:tr>
      <w:tr w14:paraId="391499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C7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3A53D8">
            <w:pPr>
              <w:jc w:val="center"/>
            </w:pPr>
            <w:r>
              <w:rPr>
                <w:rFonts w:ascii="宋体" w:hAnsi="宋体" w:eastAsia="宋体"/>
                <w:sz w:val="16"/>
              </w:rPr>
              <w:t>阿图什市儿童福利院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71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669D60">
            <w:pPr>
              <w:jc w:val="center"/>
            </w:pPr>
            <w:r>
              <w:rPr>
                <w:rFonts w:ascii="宋体" w:hAnsi="宋体" w:eastAsia="宋体"/>
                <w:sz w:val="16"/>
              </w:rPr>
              <w:t>阿图什市儿童福利院</w:t>
            </w:r>
          </w:p>
        </w:tc>
      </w:tr>
      <w:tr w14:paraId="479943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95D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D9E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6C9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F14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12D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22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E06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5A87">
            <w:pPr>
              <w:jc w:val="center"/>
            </w:pPr>
            <w:r>
              <w:rPr>
                <w:rFonts w:ascii="宋体" w:hAnsi="宋体" w:eastAsia="宋体"/>
                <w:sz w:val="16"/>
              </w:rPr>
              <w:t>得分</w:t>
            </w:r>
          </w:p>
        </w:tc>
      </w:tr>
      <w:tr w14:paraId="7A872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2E4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79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BB3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5C37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B029F">
            <w:pPr>
              <w:jc w:val="center"/>
            </w:pPr>
            <w:r>
              <w:rPr>
                <w:rFonts w:ascii="宋体" w:hAnsi="宋体" w:eastAsia="宋体"/>
                <w:sz w:val="16"/>
              </w:rPr>
              <w:t>20.83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D18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1716">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B875">
            <w:pPr>
              <w:jc w:val="center"/>
            </w:pPr>
            <w:r>
              <w:rPr>
                <w:rFonts w:ascii="宋体" w:hAnsi="宋体" w:eastAsia="宋体"/>
                <w:sz w:val="16"/>
              </w:rPr>
              <w:t>5.82分</w:t>
            </w:r>
          </w:p>
        </w:tc>
      </w:tr>
      <w:tr w14:paraId="5F871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906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380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F06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7781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49E13">
            <w:pPr>
              <w:jc w:val="center"/>
            </w:pPr>
            <w:r>
              <w:rPr>
                <w:rFonts w:ascii="宋体" w:hAnsi="宋体" w:eastAsia="宋体"/>
                <w:sz w:val="16"/>
              </w:rPr>
              <w:t>20.83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074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80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3177">
            <w:pPr>
              <w:jc w:val="center"/>
            </w:pPr>
            <w:r>
              <w:rPr>
                <w:rFonts w:ascii="宋体" w:hAnsi="宋体" w:eastAsia="宋体"/>
                <w:sz w:val="16"/>
              </w:rPr>
              <w:t>—</w:t>
            </w:r>
          </w:p>
        </w:tc>
      </w:tr>
      <w:tr w14:paraId="1A344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FD4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D86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14F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95B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D29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8D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5F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5077">
            <w:pPr>
              <w:jc w:val="center"/>
            </w:pPr>
            <w:r>
              <w:rPr>
                <w:rFonts w:ascii="宋体" w:hAnsi="宋体" w:eastAsia="宋体"/>
                <w:sz w:val="16"/>
              </w:rPr>
              <w:t>—</w:t>
            </w:r>
          </w:p>
        </w:tc>
      </w:tr>
      <w:tr w14:paraId="74D843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684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43C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93C001">
            <w:pPr>
              <w:jc w:val="center"/>
            </w:pPr>
            <w:r>
              <w:rPr>
                <w:rFonts w:ascii="宋体" w:hAnsi="宋体" w:eastAsia="宋体"/>
                <w:sz w:val="16"/>
              </w:rPr>
              <w:t>实际完成情况</w:t>
            </w:r>
          </w:p>
        </w:tc>
      </w:tr>
      <w:tr w14:paraId="639CE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AE3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30D01">
            <w:pPr>
              <w:jc w:val="both"/>
            </w:pPr>
            <w:r>
              <w:rPr>
                <w:rFonts w:ascii="宋体" w:hAnsi="宋体" w:eastAsia="宋体"/>
                <w:sz w:val="16"/>
              </w:rPr>
              <w:t>根据《阿图什市儿童福利院预算申请》，安排项目资金25万元，主要用于水电费、天然气费缴纳期限12个月，基础设施绿化期限5个月，购买办公用品、耗材数量4批次，日常维修维护期限12个月，消防器材维护期限12个月；通过项目的实施，做好服务群众工作，提高日常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CD587">
            <w:pPr>
              <w:jc w:val="both"/>
            </w:pPr>
            <w:r>
              <w:rPr>
                <w:rFonts w:ascii="宋体" w:hAnsi="宋体" w:eastAsia="宋体"/>
                <w:sz w:val="16"/>
              </w:rPr>
              <w:t>本项目共计支出20.8332万元，用于水电费、天然气费缴纳期限12个月，基础设施绿化期限5个月，购买办公用品、耗材数量2批次，日常维修维护期限12个月，消防器材维护期限12个月；通过实施本项目做好服务群众工作，提高日常工作效率。</w:t>
            </w:r>
          </w:p>
        </w:tc>
      </w:tr>
      <w:tr w14:paraId="3BB604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BF38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62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E2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C0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10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FD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0C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79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36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97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24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61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DEC35">
            <w:pPr>
              <w:jc w:val="center"/>
            </w:pPr>
            <w:r>
              <w:rPr>
                <w:rFonts w:ascii="宋体" w:hAnsi="宋体" w:eastAsia="宋体"/>
                <w:sz w:val="16"/>
              </w:rPr>
              <w:t>偏差原因分析及改进措施</w:t>
            </w:r>
          </w:p>
        </w:tc>
      </w:tr>
      <w:tr w14:paraId="5C0DAC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D74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8BE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F02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CB0C">
            <w:pPr>
              <w:jc w:val="center"/>
            </w:pPr>
            <w:r>
              <w:rPr>
                <w:rFonts w:ascii="宋体" w:hAnsi="宋体" w:eastAsia="宋体"/>
                <w:sz w:val="16"/>
              </w:rPr>
              <w:t>水电费、天然气费缴纳期限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31D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6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B3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F4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28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1A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477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7D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E7933">
            <w:pPr>
              <w:jc w:val="center"/>
            </w:pPr>
          </w:p>
        </w:tc>
      </w:tr>
      <w:tr w14:paraId="78078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77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B8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CDC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D9FF">
            <w:pPr>
              <w:jc w:val="center"/>
            </w:pPr>
            <w:r>
              <w:rPr>
                <w:rFonts w:ascii="宋体" w:hAnsi="宋体" w:eastAsia="宋体"/>
                <w:sz w:val="16"/>
              </w:rPr>
              <w:t>基础设施绿化期限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F37C">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F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06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3F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3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06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EADC">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19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0A50B">
            <w:pPr>
              <w:jc w:val="center"/>
            </w:pPr>
          </w:p>
        </w:tc>
      </w:tr>
      <w:tr w14:paraId="6A80F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B2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88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17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678F">
            <w:pPr>
              <w:jc w:val="center"/>
            </w:pPr>
            <w:r>
              <w:rPr>
                <w:rFonts w:ascii="宋体" w:hAnsi="宋体" w:eastAsia="宋体"/>
                <w:sz w:val="16"/>
              </w:rPr>
              <w:t>购买办公用品、耗材数量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53F7">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5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77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89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C6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AE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7982">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5D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198F3">
            <w:pPr>
              <w:jc w:val="center"/>
            </w:pPr>
            <w:r>
              <w:rPr>
                <w:rFonts w:ascii="宋体" w:hAnsi="宋体" w:eastAsia="宋体"/>
                <w:sz w:val="16"/>
              </w:rPr>
              <w:t>原因：根据单位实际情况进行采购，因此指标完成情况存在偏差；措施：下一年度做好项目管理，提高工作执行进度，减少偏差。</w:t>
            </w:r>
          </w:p>
        </w:tc>
      </w:tr>
      <w:tr w14:paraId="17915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DC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9F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9F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A845">
            <w:pPr>
              <w:jc w:val="center"/>
            </w:pPr>
            <w:r>
              <w:rPr>
                <w:rFonts w:ascii="宋体" w:hAnsi="宋体" w:eastAsia="宋体"/>
                <w:sz w:val="16"/>
              </w:rPr>
              <w:t>日常维修维护期限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DDF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E4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EF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E3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EC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0D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1791">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62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7F0B5">
            <w:pPr>
              <w:jc w:val="center"/>
            </w:pPr>
          </w:p>
        </w:tc>
      </w:tr>
      <w:tr w14:paraId="7F93E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10A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16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9C9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F8F8">
            <w:pPr>
              <w:jc w:val="center"/>
            </w:pPr>
            <w:r>
              <w:rPr>
                <w:rFonts w:ascii="宋体" w:hAnsi="宋体" w:eastAsia="宋体"/>
                <w:sz w:val="16"/>
              </w:rPr>
              <w:t>消防器材维护期限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208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4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9F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92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1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8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60D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50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E0B1">
            <w:pPr>
              <w:jc w:val="center"/>
            </w:pPr>
          </w:p>
        </w:tc>
      </w:tr>
      <w:tr w14:paraId="3F35F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D9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F09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32C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0460">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8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4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BA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73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0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21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A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FA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183AB">
            <w:pPr>
              <w:jc w:val="center"/>
            </w:pPr>
          </w:p>
        </w:tc>
      </w:tr>
      <w:tr w14:paraId="7E216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B3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FCB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84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EED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C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F0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6A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69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28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7D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3AC9">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7E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5917">
            <w:pPr>
              <w:jc w:val="center"/>
            </w:pPr>
          </w:p>
        </w:tc>
      </w:tr>
      <w:tr w14:paraId="015D5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47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FCD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BE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B8ED">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BD1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17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E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15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1C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92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091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8F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2D539">
            <w:pPr>
              <w:jc w:val="center"/>
            </w:pPr>
          </w:p>
        </w:tc>
      </w:tr>
      <w:tr w14:paraId="105C1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E25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9C7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0F2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FA2C">
            <w:pPr>
              <w:jc w:val="center"/>
            </w:pPr>
            <w:r>
              <w:rPr>
                <w:rFonts w:ascii="宋体" w:hAnsi="宋体" w:eastAsia="宋体"/>
                <w:sz w:val="16"/>
              </w:rPr>
              <w:t>水电费、天然气费成本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C7EC">
            <w:pPr>
              <w:jc w:val="center"/>
            </w:pPr>
            <w:r>
              <w:rPr>
                <w:rFonts w:ascii="宋体" w:hAnsi="宋体" w:eastAsia="宋体"/>
                <w:sz w:val="16"/>
              </w:rPr>
              <w:t>&lt;=6.44万元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8C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52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30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C3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C02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B5F4">
            <w:pPr>
              <w:jc w:val="center"/>
            </w:pPr>
            <w:r>
              <w:rPr>
                <w:rFonts w:ascii="宋体" w:hAnsi="宋体" w:eastAsia="宋体"/>
                <w:sz w:val="16"/>
              </w:rPr>
              <w:t>=6.44万元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DF4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9EC1A">
            <w:pPr>
              <w:jc w:val="center"/>
            </w:pPr>
          </w:p>
        </w:tc>
      </w:tr>
      <w:tr w14:paraId="3AA83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58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4B3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5B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EE31">
            <w:pPr>
              <w:jc w:val="center"/>
            </w:pPr>
            <w:r>
              <w:rPr>
                <w:rFonts w:ascii="宋体" w:hAnsi="宋体" w:eastAsia="宋体"/>
                <w:sz w:val="16"/>
              </w:rPr>
              <w:t>基础设施绿化成本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34A6">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EB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A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CD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47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C6A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B42A">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FE7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F3735">
            <w:pPr>
              <w:jc w:val="center"/>
            </w:pPr>
          </w:p>
        </w:tc>
      </w:tr>
      <w:tr w14:paraId="7BB97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29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C2B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B5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E48D">
            <w:pPr>
              <w:jc w:val="center"/>
            </w:pPr>
            <w:r>
              <w:rPr>
                <w:rFonts w:ascii="宋体" w:hAnsi="宋体" w:eastAsia="宋体"/>
                <w:sz w:val="16"/>
              </w:rPr>
              <w:t>购买办公用品、耗材成本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5373">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6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4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542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0D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67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D20D">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6FD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57A1C">
            <w:pPr>
              <w:jc w:val="center"/>
            </w:pPr>
          </w:p>
        </w:tc>
      </w:tr>
      <w:tr w14:paraId="3C5DB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65F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17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FD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C742">
            <w:pPr>
              <w:jc w:val="center"/>
            </w:pPr>
            <w:r>
              <w:rPr>
                <w:rFonts w:ascii="宋体" w:hAnsi="宋体" w:eastAsia="宋体"/>
                <w:sz w:val="16"/>
              </w:rPr>
              <w:t>日常维修维护、设备安装成本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2BB9">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FD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7A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46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0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049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AA28">
            <w:pPr>
              <w:jc w:val="center"/>
            </w:pPr>
            <w:r>
              <w:rPr>
                <w:rFonts w:ascii="宋体" w:hAnsi="宋体" w:eastAsia="宋体"/>
                <w:sz w:val="16"/>
              </w:rPr>
              <w:t>=2.4932万元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ADE7">
            <w:pPr>
              <w:jc w:val="center"/>
            </w:pPr>
            <w:r>
              <w:rPr>
                <w:rFonts w:ascii="宋体" w:hAnsi="宋体" w:eastAsia="宋体"/>
                <w:sz w:val="16"/>
              </w:rPr>
              <w:t>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05B8">
            <w:pPr>
              <w:jc w:val="center"/>
            </w:pPr>
            <w:r>
              <w:rPr>
                <w:rFonts w:ascii="宋体" w:hAnsi="宋体" w:eastAsia="宋体"/>
                <w:sz w:val="16"/>
              </w:rPr>
              <w:t>原因：第三方机构未及时提供支出资料，未能按时支出；措施：及时催收支出资料，加快项目支出进度，减少偏差。</w:t>
            </w:r>
          </w:p>
        </w:tc>
      </w:tr>
      <w:tr w14:paraId="40AAA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8AA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40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B0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1775">
            <w:pPr>
              <w:jc w:val="center"/>
            </w:pPr>
            <w:r>
              <w:rPr>
                <w:rFonts w:ascii="宋体" w:hAnsi="宋体" w:eastAsia="宋体"/>
                <w:sz w:val="16"/>
              </w:rPr>
              <w:t>消防器材维护成本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BC34">
            <w:pPr>
              <w:jc w:val="center"/>
            </w:pPr>
            <w:r>
              <w:rPr>
                <w:rFonts w:ascii="宋体" w:hAnsi="宋体" w:eastAsia="宋体"/>
                <w:sz w:val="16"/>
              </w:rPr>
              <w:t>&lt;=6.16万元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CA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85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7EA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4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F61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B2EA">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86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EA656">
            <w:pPr>
              <w:jc w:val="center"/>
            </w:pPr>
            <w:r>
              <w:rPr>
                <w:rFonts w:ascii="宋体" w:hAnsi="宋体" w:eastAsia="宋体"/>
                <w:sz w:val="16"/>
              </w:rPr>
              <w:t>原因：第三方机构未及时提供支出资料，未能按时支出；措施：及时催收支出资料，加快项目支出进度，减少偏差。</w:t>
            </w:r>
          </w:p>
        </w:tc>
      </w:tr>
      <w:tr w14:paraId="135D5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47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7F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C5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5864">
            <w:pPr>
              <w:jc w:val="center"/>
            </w:pPr>
            <w:r>
              <w:rPr>
                <w:rFonts w:ascii="宋体" w:hAnsi="宋体" w:eastAsia="宋体"/>
                <w:sz w:val="16"/>
              </w:rPr>
              <w:t>保障日常工作正常运转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546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F0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A8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E5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4E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B3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B4E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CE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62881">
            <w:pPr>
              <w:jc w:val="center"/>
            </w:pPr>
          </w:p>
        </w:tc>
      </w:tr>
      <w:tr w14:paraId="6F2CB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71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52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5E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D21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CF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7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7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EB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3D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E7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69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E3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AE121">
            <w:pPr>
              <w:jc w:val="center"/>
            </w:pPr>
          </w:p>
        </w:tc>
      </w:tr>
      <w:tr w14:paraId="3DFBAE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1C9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F6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6A9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E603">
            <w:pPr>
              <w:jc w:val="center"/>
            </w:pPr>
            <w:r>
              <w:rPr>
                <w:rFonts w:ascii="宋体" w:hAnsi="宋体" w:eastAsia="宋体"/>
                <w:sz w:val="16"/>
              </w:rPr>
              <w:t>83.05分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8BFD60"/>
        </w:tc>
      </w:tr>
    </w:tbl>
    <w:p w14:paraId="037D539E">
      <w:r>
        <w:br w:type="page"/>
      </w:r>
    </w:p>
    <w:p w14:paraId="5725CEC3">
      <w:pPr>
        <w:spacing w:line="640" w:lineRule="exact"/>
        <w:ind w:firstLine="640"/>
        <w:jc w:val="both"/>
        <w:outlineLvl w:val="2"/>
      </w:pPr>
      <w:r>
        <w:rPr>
          <w:rFonts w:ascii="黑体" w:hAnsi="黑体" w:eastAsia="黑体"/>
          <w:sz w:val="32"/>
        </w:rPr>
        <w:t>十二、其他需说明的事项</w:t>
      </w:r>
    </w:p>
    <w:p w14:paraId="20B524F8">
      <w:pPr>
        <w:spacing w:line="580" w:lineRule="exact"/>
        <w:ind w:firstLine="640"/>
        <w:jc w:val="both"/>
      </w:pPr>
      <w:r>
        <w:rPr>
          <w:rFonts w:ascii="仿宋_GB2312" w:hAnsi="仿宋_GB2312" w:eastAsia="仿宋_GB2312"/>
          <w:b w:val="0"/>
          <w:sz w:val="32"/>
        </w:rPr>
        <w:t>本单位无其他需说明的事项。</w:t>
      </w:r>
    </w:p>
    <w:p w14:paraId="23F2E9BE">
      <w:r>
        <w:br w:type="page"/>
      </w:r>
    </w:p>
    <w:p w14:paraId="53F48DE6">
      <w:pPr>
        <w:spacing w:line="240" w:lineRule="auto"/>
        <w:jc w:val="center"/>
        <w:outlineLvl w:val="1"/>
      </w:pPr>
      <w:r>
        <w:rPr>
          <w:rFonts w:ascii="黑体" w:hAnsi="黑体" w:eastAsia="黑体"/>
          <w:sz w:val="32"/>
        </w:rPr>
        <w:t>第三部分 专业名词解释</w:t>
      </w:r>
    </w:p>
    <w:p w14:paraId="63FCC9F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478B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5B1A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926E8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EF8E1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DC371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942C0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EF11B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3ED82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D14E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6050B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21CE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65635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FDD7E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E2BC57">
      <w:r>
        <w:br w:type="page"/>
      </w:r>
    </w:p>
    <w:p w14:paraId="485FBF0D">
      <w:pPr>
        <w:spacing w:line="240" w:lineRule="auto"/>
        <w:jc w:val="center"/>
        <w:outlineLvl w:val="1"/>
      </w:pPr>
      <w:r>
        <w:rPr>
          <w:rFonts w:ascii="黑体" w:hAnsi="黑体" w:eastAsia="黑体"/>
          <w:sz w:val="32"/>
        </w:rPr>
        <w:t>第四部分 部门决算报表（见附表）</w:t>
      </w:r>
    </w:p>
    <w:p w14:paraId="05D5B260">
      <w:pPr>
        <w:spacing w:line="240" w:lineRule="auto"/>
        <w:ind w:firstLine="640"/>
        <w:jc w:val="both"/>
      </w:pPr>
      <w:r>
        <w:rPr>
          <w:rFonts w:ascii="仿宋_GB2312" w:hAnsi="仿宋_GB2312" w:eastAsia="仿宋_GB2312"/>
          <w:b w:val="0"/>
          <w:sz w:val="32"/>
        </w:rPr>
        <w:t>一、《收入支出决算总表》</w:t>
      </w:r>
    </w:p>
    <w:p w14:paraId="3C99C881">
      <w:pPr>
        <w:spacing w:line="240" w:lineRule="auto"/>
        <w:ind w:firstLine="640"/>
        <w:jc w:val="both"/>
      </w:pPr>
      <w:r>
        <w:rPr>
          <w:rFonts w:ascii="仿宋_GB2312" w:hAnsi="仿宋_GB2312" w:eastAsia="仿宋_GB2312"/>
          <w:b w:val="0"/>
          <w:sz w:val="32"/>
        </w:rPr>
        <w:t>二、《收入决算表》</w:t>
      </w:r>
    </w:p>
    <w:p w14:paraId="59C664D5">
      <w:pPr>
        <w:spacing w:line="240" w:lineRule="auto"/>
        <w:ind w:firstLine="640"/>
        <w:jc w:val="both"/>
      </w:pPr>
      <w:r>
        <w:rPr>
          <w:rFonts w:ascii="仿宋_GB2312" w:hAnsi="仿宋_GB2312" w:eastAsia="仿宋_GB2312"/>
          <w:b w:val="0"/>
          <w:sz w:val="32"/>
        </w:rPr>
        <w:t>三、《支出决算表》</w:t>
      </w:r>
    </w:p>
    <w:p w14:paraId="29BDAFA4">
      <w:pPr>
        <w:spacing w:line="240" w:lineRule="auto"/>
        <w:ind w:firstLine="640"/>
        <w:jc w:val="both"/>
      </w:pPr>
      <w:r>
        <w:rPr>
          <w:rFonts w:ascii="仿宋_GB2312" w:hAnsi="仿宋_GB2312" w:eastAsia="仿宋_GB2312"/>
          <w:b w:val="0"/>
          <w:sz w:val="32"/>
        </w:rPr>
        <w:t>四、《财政拨款收入支出决算总表》</w:t>
      </w:r>
    </w:p>
    <w:p w14:paraId="1FD47EB6">
      <w:pPr>
        <w:spacing w:line="240" w:lineRule="auto"/>
        <w:ind w:firstLine="640"/>
        <w:jc w:val="both"/>
      </w:pPr>
      <w:r>
        <w:rPr>
          <w:rFonts w:ascii="仿宋_GB2312" w:hAnsi="仿宋_GB2312" w:eastAsia="仿宋_GB2312"/>
          <w:b w:val="0"/>
          <w:sz w:val="32"/>
        </w:rPr>
        <w:t>五、《一般公共预算财政拨款支出决算表》</w:t>
      </w:r>
    </w:p>
    <w:p w14:paraId="711EBA34">
      <w:pPr>
        <w:spacing w:line="240" w:lineRule="auto"/>
        <w:ind w:firstLine="640"/>
        <w:jc w:val="both"/>
      </w:pPr>
      <w:r>
        <w:rPr>
          <w:rFonts w:ascii="仿宋_GB2312" w:hAnsi="仿宋_GB2312" w:eastAsia="仿宋_GB2312"/>
          <w:b w:val="0"/>
          <w:sz w:val="32"/>
        </w:rPr>
        <w:t>六、《一般公共预算财政拨款基本支出决算表》</w:t>
      </w:r>
    </w:p>
    <w:p w14:paraId="1CEBA65E">
      <w:pPr>
        <w:spacing w:line="240" w:lineRule="auto"/>
        <w:ind w:firstLine="640"/>
        <w:jc w:val="both"/>
      </w:pPr>
      <w:r>
        <w:rPr>
          <w:rFonts w:ascii="仿宋_GB2312" w:hAnsi="仿宋_GB2312" w:eastAsia="仿宋_GB2312"/>
          <w:b w:val="0"/>
          <w:sz w:val="32"/>
        </w:rPr>
        <w:t>七、《政府性基金预算财政拨款收入支出决算表》</w:t>
      </w:r>
    </w:p>
    <w:p w14:paraId="1A55E8CD">
      <w:pPr>
        <w:spacing w:line="240" w:lineRule="auto"/>
        <w:ind w:firstLine="640"/>
        <w:jc w:val="both"/>
      </w:pPr>
      <w:r>
        <w:rPr>
          <w:rFonts w:ascii="仿宋_GB2312" w:hAnsi="仿宋_GB2312" w:eastAsia="仿宋_GB2312"/>
          <w:b w:val="0"/>
          <w:sz w:val="32"/>
        </w:rPr>
        <w:t>八、《国有资本经营预算财政拨款收入支出决算表》</w:t>
      </w:r>
    </w:p>
    <w:p w14:paraId="509E361B">
      <w:pPr>
        <w:spacing w:line="240" w:lineRule="auto"/>
        <w:ind w:firstLine="640"/>
        <w:jc w:val="both"/>
      </w:pPr>
      <w:r>
        <w:rPr>
          <w:rFonts w:ascii="仿宋_GB2312" w:hAnsi="仿宋_GB2312" w:eastAsia="仿宋_GB2312"/>
          <w:b w:val="0"/>
          <w:sz w:val="32"/>
        </w:rPr>
        <w:t>九、《财政拨款“三公”经费支出决算表》</w:t>
      </w:r>
    </w:p>
    <w:p w14:paraId="00C7FA89">
      <w:pPr>
        <w:spacing w:line="240" w:lineRule="auto"/>
        <w:ind w:firstLine="640"/>
        <w:jc w:val="both"/>
      </w:pPr>
    </w:p>
    <w:p w14:paraId="540410FB">
      <w:pPr>
        <w:spacing w:line="240" w:lineRule="auto"/>
        <w:ind w:firstLine="640"/>
        <w:jc w:val="both"/>
      </w:pPr>
    </w:p>
    <w:p w14:paraId="294809DF">
      <w:pPr>
        <w:spacing w:line="240" w:lineRule="auto"/>
        <w:ind w:firstLine="640"/>
        <w:jc w:val="both"/>
      </w:pPr>
    </w:p>
    <w:p w14:paraId="19B7B930">
      <w:pPr>
        <w:spacing w:line="240" w:lineRule="auto"/>
        <w:ind w:firstLine="640"/>
        <w:jc w:val="both"/>
      </w:pPr>
    </w:p>
    <w:p w14:paraId="1DE36FA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7E31E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5551</Words>
  <Characters>6408</Characters>
  <Lines>0</Lines>
  <Paragraphs>0</Paragraphs>
  <TotalTime>9</TotalTime>
  <ScaleCrop>false</ScaleCrop>
  <LinksUpToDate>false</LinksUpToDate>
  <CharactersWithSpaces>6426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2025-09-08T08:09:12Z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