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阿图什市吐古买提乡农村合作经济（统计）发展中心（财政所）2024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负责农村经济管理、财务管理等工作；负责农村集体经济为农村集体经济健康发展提供保障和服务工作；负责乡政府财政预算决算的编制、办理各项收支结算和对账、报账工作；履行统计职责。</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阿图什市吐古买提乡农村合作经济（统计）发展中心（财政所）2024年度，实有人数13人，其中：在职人员11人，增加4人；离休人员0人，增加0人；退休人员2人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阿图什市吐古买提乡农村合作经济（统计）发展中心（财政所）无下属预算单位，下设2个科室，分别是：财政所、农经室。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2024年度收入总计129.08万元，</w:t>
      </w:r>
      <w:r>
        <w:rPr>
          <w:rFonts w:ascii="仿宋_GB2312" w:hAnsi="仿宋_GB2312" w:eastAsia="仿宋_GB2312"/>
          <w:b w:val="0"/>
          <w:sz w:val="32"/>
        </w:rPr>
        <w:t>其中：本年收入合计129.08万元，使用非财政拨款结余（含专用结余）0.00万元，年初结转和结余0.00万元。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2024年度支出总计129.08万元，</w:t>
      </w:r>
      <w:r>
        <w:rPr>
          <w:rFonts w:ascii="仿宋_GB2312" w:hAnsi="仿宋_GB2312" w:eastAsia="仿宋_GB2312"/>
          <w:b w:val="0"/>
          <w:sz w:val="32"/>
        </w:rPr>
        <w:t>其中：本年支出合计129.08万元，结余分配0.00万元，年末结转和结余0.00万元。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收入支出总体与上年相比，增加12.44万元，增长10.67%，主要原因是：本年在职人员增加，在职人员工资调增、社保、公积金基数调增，人员经费增加。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本年收入129.08万元，</w:t>
      </w:r>
      <w:r>
        <w:rPr>
          <w:rFonts w:ascii="仿宋_GB2312" w:hAnsi="仿宋_GB2312" w:eastAsia="仿宋_GB2312"/>
          <w:b w:val="0"/>
          <w:sz w:val="32"/>
        </w:rPr>
        <w:t>其中：财政拨款收入129.08万元，占100.00%；上级补助收入0.00万元，占0.00%；事业收入0.00万元，占0.00%；经营收入0.00万元，占0.00%；附属单位上缴收入0.00万元，占0.00%；其他收入0.00万元，占0.00%。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本年支出129.08万元，</w:t>
      </w:r>
      <w:r>
        <w:rPr>
          <w:rFonts w:ascii="仿宋_GB2312" w:hAnsi="仿宋_GB2312" w:eastAsia="仿宋_GB2312"/>
          <w:b w:val="0"/>
          <w:sz w:val="32"/>
        </w:rPr>
        <w:t>其中：基本支出129.08万元，占100.00%；项目支出0.00万元，占0.00%；上缴上级支出0.00万元，占0.00%；经营支出0.00万元，占0.00%；对附属单位补助支出0.00万元，占0.00%。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2024年度财政拨款收入总计129.08万元，</w:t>
      </w:r>
      <w:r>
        <w:rPr>
          <w:rFonts w:ascii="仿宋_GB2312" w:hAnsi="仿宋_GB2312" w:eastAsia="仿宋_GB2312"/>
          <w:b w:val="0"/>
          <w:sz w:val="32"/>
        </w:rPr>
        <w:t>其中：年初财政拨款结转和结余0.00万元，本年财政拨款收入129.08万元。</w:t>
      </w:r>
      <w:r>
        <w:rPr>
          <w:rFonts w:ascii="仿宋_GB2312" w:hAnsi="仿宋_GB2312" w:eastAsia="仿宋_GB2312"/>
          <w:b/>
          <w:sz w:val="32"/>
        </w:rPr>
        <w:t>财政拨款支出总计129.08万元，</w:t>
      </w:r>
      <w:r>
        <w:rPr>
          <w:rFonts w:ascii="仿宋_GB2312" w:hAnsi="仿宋_GB2312" w:eastAsia="仿宋_GB2312"/>
          <w:b w:val="0"/>
          <w:sz w:val="32"/>
        </w:rPr>
        <w:t>其中：年末财政拨款结转和结余0.00万元，本年财政拨款支出129.08万元。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增加12.44万元，增长10.67%，主要原因是：本年在职人员增加，在职人员工资调增、社保、公积金基数调增，人员经费增加。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年初预算数114.97万元，决算数129.08万元，预决算差异率12.27%，主要原因是：本年在职人员增加，年中追加人员经费及人员工资、社保、公积金基数调增部分资金，导致预决算存在差异。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2024年度一般公共预算财政拨款支出129.08万元，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增加12.44万元，增长10.67%，主要原因是：本年在职人员增加，在职人员工资调增、社保、公积金基数调增，人员经费增加。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年初预算数114.97万元，决算数129.08万元，预决算差异率12.27%，主要原因是：本年在职人员增加，年中追加人员经费及人员工资、社保、公积金基数调增部分资金，导致预决算存在差异。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1.一般公共服务支出(类)100.50万元</w:t>
      </w:r>
      <w:r>
        <w:rPr>
          <w:rFonts w:hint="eastAsia" w:ascii="仿宋_GB2312" w:hAnsi="仿宋_GB2312" w:eastAsia="仿宋_GB2312"/>
          <w:b w:val="0"/>
          <w:sz w:val="32"/>
          <w:lang w:eastAsia="zh-CN"/>
        </w:rPr>
        <w:t>，</w:t>
      </w:r>
      <w:r>
        <w:rPr>
          <w:rFonts w:ascii="仿宋_GB2312" w:hAnsi="仿宋_GB2312" w:eastAsia="仿宋_GB2312"/>
          <w:b w:val="0"/>
          <w:sz w:val="32"/>
        </w:rPr>
        <w:t>占77.86%。</w:t>
      </w:r>
    </w:p>
    <w:p>
      <w:pPr>
        <w:spacing w:line="580" w:lineRule="exact"/>
        <w:ind w:firstLine="640"/>
        <w:jc w:val="both"/>
      </w:pPr>
      <w:r>
        <w:rPr>
          <w:rFonts w:ascii="仿宋_GB2312" w:hAnsi="仿宋_GB2312" w:eastAsia="仿宋_GB2312"/>
          <w:b w:val="0"/>
          <w:sz w:val="32"/>
        </w:rPr>
        <w:t>2.社会保障和就业支出(类)14.69万元</w:t>
      </w:r>
      <w:r>
        <w:rPr>
          <w:rFonts w:hint="eastAsia" w:ascii="仿宋_GB2312" w:hAnsi="仿宋_GB2312" w:eastAsia="仿宋_GB2312"/>
          <w:b w:val="0"/>
          <w:sz w:val="32"/>
          <w:lang w:eastAsia="zh-CN"/>
        </w:rPr>
        <w:t>，</w:t>
      </w:r>
      <w:r>
        <w:rPr>
          <w:rFonts w:ascii="仿宋_GB2312" w:hAnsi="仿宋_GB2312" w:eastAsia="仿宋_GB2312"/>
          <w:b w:val="0"/>
          <w:sz w:val="32"/>
        </w:rPr>
        <w:t>占11.38%。</w:t>
      </w:r>
    </w:p>
    <w:p>
      <w:pPr>
        <w:spacing w:line="580" w:lineRule="exact"/>
        <w:ind w:firstLine="640"/>
        <w:jc w:val="both"/>
      </w:pPr>
      <w:r>
        <w:rPr>
          <w:rFonts w:ascii="仿宋_GB2312" w:hAnsi="仿宋_GB2312" w:eastAsia="仿宋_GB2312"/>
          <w:b w:val="0"/>
          <w:sz w:val="32"/>
        </w:rPr>
        <w:t>3.卫生健康支出(类)4.05万元</w:t>
      </w:r>
      <w:r>
        <w:rPr>
          <w:rFonts w:hint="eastAsia" w:ascii="仿宋_GB2312" w:hAnsi="仿宋_GB2312" w:eastAsia="仿宋_GB2312"/>
          <w:b w:val="0"/>
          <w:sz w:val="32"/>
          <w:lang w:eastAsia="zh-CN"/>
        </w:rPr>
        <w:t>，</w:t>
      </w:r>
      <w:r>
        <w:rPr>
          <w:rFonts w:ascii="仿宋_GB2312" w:hAnsi="仿宋_GB2312" w:eastAsia="仿宋_GB2312"/>
          <w:b w:val="0"/>
          <w:sz w:val="32"/>
        </w:rPr>
        <w:t>占3.14%。</w:t>
      </w:r>
    </w:p>
    <w:p>
      <w:pPr>
        <w:spacing w:line="580" w:lineRule="exact"/>
        <w:ind w:firstLine="640"/>
        <w:jc w:val="both"/>
      </w:pPr>
      <w:r>
        <w:rPr>
          <w:rFonts w:ascii="仿宋_GB2312" w:hAnsi="仿宋_GB2312" w:eastAsia="仿宋_GB2312"/>
          <w:b w:val="0"/>
          <w:sz w:val="32"/>
        </w:rPr>
        <w:t>4.住房保障支出(类)9.85万元</w:t>
      </w:r>
      <w:r>
        <w:rPr>
          <w:rFonts w:hint="eastAsia" w:ascii="仿宋_GB2312" w:hAnsi="仿宋_GB2312" w:eastAsia="仿宋_GB2312"/>
          <w:b w:val="0"/>
          <w:sz w:val="32"/>
          <w:lang w:eastAsia="zh-CN"/>
        </w:rPr>
        <w:t>，</w:t>
      </w:r>
      <w:r>
        <w:rPr>
          <w:rFonts w:ascii="仿宋_GB2312" w:hAnsi="仿宋_GB2312" w:eastAsia="仿宋_GB2312"/>
          <w:b w:val="0"/>
          <w:sz w:val="32"/>
        </w:rPr>
        <w:t>占7.63%。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支出决算数为16.14万元，比上年决算增加0.17万元，增长1.06%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2.一般公共服务支出(类)财政事务(款)事业运行(项)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支出决算数为84.36万元，比上年决算增加12.37万元，增长17.18%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3.一般公共服务支出(类)财政事务(款)其他财政事务支出(项)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支出决算数为0.00万元，比上年决算减少5.48万元，下降100.00%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主要原因是：本年财政所工作经费项目减少。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支出决算数为2.62万元，比上年决算增加0.42万元，增长19.09%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支出决算数为0.00万元，比上年决算减少0.78万元，下降100.00%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主要原因是：本年功能科目调整，事业单位离退休上年度单独列支，本年调整至主科目列支，导致经费较上年减少。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支出决算数为12.07万元，比上年决算增加3.37万元，增长38.74%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7.卫生健康支出(类)行政事业单位医疗(款)行政单位医疗(项)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支出决算数为0.61万元，比上年决算减少0.90万元，下降59.60%</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w:t>
      </w:r>
      <w:r>
        <w:rPr>
          <w:rFonts w:hint="eastAsia" w:ascii="仿宋_GB2312" w:hAnsi="仿宋_GB2312" w:eastAsia="仿宋_GB2312"/>
          <w:b w:val="0"/>
          <w:sz w:val="32"/>
          <w:lang w:val="en-US" w:eastAsia="zh-CN"/>
        </w:rPr>
        <w:t>保险</w:t>
      </w:r>
      <w:r>
        <w:rPr>
          <w:rFonts w:ascii="仿宋_GB2312" w:hAnsi="仿宋_GB2312" w:eastAsia="仿宋_GB2312"/>
          <w:b w:val="0"/>
          <w:sz w:val="32"/>
        </w:rPr>
        <w:t>不再由单位缴纳，导致经费较上年减少。</w:t>
      </w:r>
    </w:p>
    <w:p>
      <w:pPr>
        <w:spacing w:line="580" w:lineRule="exact"/>
        <w:ind w:firstLine="640"/>
        <w:jc w:val="both"/>
      </w:pPr>
      <w:r>
        <w:rPr>
          <w:rFonts w:ascii="仿宋_GB2312" w:hAnsi="仿宋_GB2312" w:eastAsia="仿宋_GB2312"/>
          <w:b w:val="0"/>
          <w:sz w:val="32"/>
        </w:rPr>
        <w:t>8.卫生健康支出(类)行政事业单位医疗(款)事业单位医疗(项)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支出决算数为3.44万元，比上年决算增加0.87万元，增长33.85%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9.住房保障支出(类)住房改革支出(款)住房公积金(项)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支出决算数为9.85万元，比上年决算增加2.40万元，增长32.21%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2024年度一般公共预算财政拨款基本支出129.08万元，其中：</w:t>
      </w:r>
      <w:r>
        <w:rPr>
          <w:rFonts w:ascii="仿宋_GB2312" w:hAnsi="仿宋_GB2312" w:eastAsia="仿宋_GB2312"/>
          <w:b/>
          <w:sz w:val="32"/>
        </w:rPr>
        <w:t>人员经费127.29万元，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公用经费1.79万元，</w:t>
      </w:r>
      <w:r>
        <w:rPr>
          <w:rFonts w:ascii="仿宋_GB2312" w:hAnsi="仿宋_GB2312" w:eastAsia="仿宋_GB2312"/>
          <w:b w:val="0"/>
          <w:sz w:val="32"/>
        </w:rPr>
        <w:t>包括：办公费、取暖费。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w:t>
      </w:r>
      <w:bookmarkStart w:id="0" w:name="_GoBack"/>
      <w:bookmarkEnd w:id="0"/>
      <w:r>
        <w:rPr>
          <w:rFonts w:ascii="仿宋_GB2312" w:hAnsi="仿宋_GB2312" w:eastAsia="仿宋_GB2312"/>
          <w:b w:val="0"/>
          <w:sz w:val="32"/>
        </w:rPr>
        <w:t>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2024年度阿图什市吐古买提乡农村合作经济（统计）发展中心（财政所）（行政单位和参照公务员法管理事业单位）机关运行经费支出1.79万元，比上年增加0.00万元，增长0.00%，主要原因是：本</w:t>
      </w:r>
      <w:r>
        <w:rPr>
          <w:rFonts w:hint="eastAsia" w:ascii="仿宋_GB2312" w:hAnsi="仿宋_GB2312" w:eastAsia="仿宋_GB2312"/>
          <w:b w:val="0"/>
          <w:sz w:val="32"/>
          <w:lang w:val="en-US" w:eastAsia="zh-CN"/>
        </w:rPr>
        <w:t>年</w:t>
      </w:r>
      <w:r>
        <w:rPr>
          <w:rFonts w:ascii="仿宋_GB2312" w:hAnsi="仿宋_GB2312" w:eastAsia="仿宋_GB2312"/>
          <w:b w:val="0"/>
          <w:sz w:val="32"/>
        </w:rPr>
        <w:t>公用经费与上年一致，无变化。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本单位2024年度无政府采购支出，授予中小企业合同金额0.00万元。本年度本单位整体绩效自评表由阿图什市吐古买提乡人民政府编报并公开。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981D5A-019A-4F4E-8CCE-969A79DC9F1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3F472EA7-B098-49C7-9A2D-BA117F9B3F20}"/>
  </w:font>
  <w:font w:name="仿宋_GB2312">
    <w:panose1 w:val="02010609030101010101"/>
    <w:charset w:val="86"/>
    <w:family w:val="modern"/>
    <w:pitch w:val="default"/>
    <w:sig w:usb0="00000001" w:usb1="080E0000" w:usb2="00000000" w:usb3="00000000" w:csb0="00040000" w:csb1="00000000"/>
    <w:embedRegular r:id="rId3" w:fontKey="{76F3DD49-EC41-4C69-B5D5-BAA41EE4834D}"/>
  </w:font>
  <w:font w:name="楷体_GB2312">
    <w:panose1 w:val="02010609030101010101"/>
    <w:charset w:val="86"/>
    <w:family w:val="auto"/>
    <w:pitch w:val="default"/>
    <w:sig w:usb0="00000001" w:usb1="080E0000" w:usb2="00000000" w:usb3="00000000" w:csb0="00040000" w:csb1="00000000"/>
    <w:embedRegular r:id="rId4" w:fontKey="{20712894-E93A-4614-B40E-89A7A62FB3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D224BF"/>
    <w:rsid w:val="2064678E"/>
    <w:rsid w:val="20BC0B75"/>
    <w:rsid w:val="20DD6197"/>
    <w:rsid w:val="21F317F2"/>
    <w:rsid w:val="2241392C"/>
    <w:rsid w:val="23BC04D2"/>
    <w:rsid w:val="25275618"/>
    <w:rsid w:val="27CE017C"/>
    <w:rsid w:val="27CF2642"/>
    <w:rsid w:val="28086671"/>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0E57B9"/>
    <w:rsid w:val="52F92565"/>
    <w:rsid w:val="543D17CB"/>
    <w:rsid w:val="55DA564E"/>
    <w:rsid w:val="56E07045"/>
    <w:rsid w:val="583059FA"/>
    <w:rsid w:val="587E6212"/>
    <w:rsid w:val="5AFC6609"/>
    <w:rsid w:val="5B791466"/>
    <w:rsid w:val="5FA17648"/>
    <w:rsid w:val="5FD320BD"/>
    <w:rsid w:val="60DE4D57"/>
    <w:rsid w:val="613409CB"/>
    <w:rsid w:val="61A46A97"/>
    <w:rsid w:val="62DD7D21"/>
    <w:rsid w:val="65D97752"/>
    <w:rsid w:val="664C500C"/>
    <w:rsid w:val="672D64A0"/>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D7A38"/>
    <w:rsid w:val="74CE04EC"/>
    <w:rsid w:val="74E76DCD"/>
    <w:rsid w:val="76660D7C"/>
    <w:rsid w:val="77ED6F44"/>
    <w:rsid w:val="795A0A34"/>
    <w:rsid w:val="7A0D3BC7"/>
    <w:rsid w:val="7A3A3CDB"/>
    <w:rsid w:val="7B824683"/>
    <w:rsid w:val="7C6E11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5258</Words>
  <Characters>5892</Characters>
  <Lines>0</Lines>
  <Paragraphs>0</Paragraphs>
  <TotalTime>16</TotalTime>
  <ScaleCrop>false</ScaleCrop>
  <LinksUpToDate>false</LinksUpToDate>
  <CharactersWithSpaces>5902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2025-09-17T03:58:01Z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