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一)提出阿图什市国民经济和社会发展战略、中长期规划和年度发展计划，贯彻执行国家的国民经济和社会发展方针、政策；统筹协调阿图什市经济社会发展，研究分析阿图什市经济形势，提出国民经济发展、价格总水平调控和优化重大经济结构的目标、政策及调控建议。牵头组织统一规划体系建设。负责市级发展规划、区域规划、空间规划与阿图什市发展规划的统筹衔接。</w:t>
      </w:r>
    </w:p>
    <w:p>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二)提出加快建设现代化经济体系、推动高质量发展的总体目标、重大任务以及相关政策。组织开展重大战略规划、重大政策、重大工程等评估督导，提出相关调整建议。</w:t>
      </w:r>
    </w:p>
    <w:p>
      <w:pPr>
        <w:spacing w:line="580" w:lineRule="exact"/>
        <w:ind w:firstLine="640"/>
        <w:jc w:val="both"/>
        <w:rPr>
          <w:rFonts w:ascii="仿宋_GB2312" w:hAnsi="仿宋_GB2312" w:eastAsia="仿宋_GB2312"/>
          <w:sz w:val="32"/>
        </w:rPr>
      </w:pPr>
      <w:r>
        <w:rPr>
          <w:rFonts w:hint="eastAsia" w:ascii="仿宋_GB2312" w:hAnsi="仿宋_GB2312" w:eastAsia="仿宋_GB2312"/>
          <w:sz w:val="32"/>
          <w:lang w:eastAsia="zh-CN"/>
        </w:rPr>
        <w:t>（</w:t>
      </w:r>
      <w:r>
        <w:rPr>
          <w:rFonts w:ascii="仿宋_GB2312" w:hAnsi="仿宋_GB2312" w:eastAsia="仿宋_GB2312"/>
          <w:sz w:val="32"/>
        </w:rPr>
        <w:t>三)统筹提出国民经济和社会发展主要目标，提出宏观调控政策建议。综合协调宏观经济政策，牵头研究宏观经济应对措施。调节经济运行，协调解决经济运行中的重大问题。拟订并组织实施有关价格政策；组织制定少数由政府管理的重要商品、服务价格和收费项目、标准等。</w:t>
      </w:r>
    </w:p>
    <w:p>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四)指导推进和综合协调经济体制改革有关工作，提出相关改革建议，牵头推进供给侧结构性改革。协调推进产权制度和要素市场化配置改革。落实市场准入负面清单制度。牵头推进优化营商环境工作。</w:t>
      </w:r>
    </w:p>
    <w:p>
      <w:pPr>
        <w:spacing w:line="580" w:lineRule="exact"/>
        <w:ind w:firstLine="640"/>
        <w:jc w:val="both"/>
      </w:pPr>
      <w:r>
        <w:rPr>
          <w:rFonts w:hint="eastAsia" w:ascii="仿宋_GB2312" w:hAnsi="仿宋_GB2312" w:eastAsia="仿宋_GB2312"/>
          <w:sz w:val="32"/>
          <w:lang w:eastAsia="zh-CN"/>
        </w:rPr>
        <w:t>（</w:t>
      </w:r>
      <w:r>
        <w:rPr>
          <w:rFonts w:ascii="仿宋_GB2312" w:hAnsi="仿宋_GB2312" w:eastAsia="仿宋_GB2312"/>
          <w:sz w:val="32"/>
        </w:rPr>
        <w:t>五)提出利用外资和境外投资的战略、规划、总量平衡和结构优化政策，牵头推进实施“一带一路”建设。承担统筹协调走出去有关工作。会同有关部门贯彻落实外商投资准入负面清单。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阿图什市发展和改革委员会2024年度，实有人数54人，其中：在职人员19人，增加3人；离休人员0人，增加0人；退休人员35人,增加0人。</w:t>
      </w:r>
    </w:p>
    <w:p>
      <w:pPr>
        <w:spacing w:line="580" w:lineRule="exact"/>
        <w:ind w:firstLine="640"/>
        <w:jc w:val="both"/>
      </w:pPr>
      <w:r>
        <w:rPr>
          <w:rFonts w:ascii="仿宋_GB2312" w:hAnsi="仿宋_GB2312" w:eastAsia="仿宋_GB2312"/>
          <w:sz w:val="32"/>
        </w:rPr>
        <w:t>阿图什市发展和改革委员会无下属预算单位，下设9个科室，分别是：办公室、投资科、粮食和物资储备室、社发科、价格管理科、农经科、交通能源科、</w:t>
      </w:r>
      <w:r>
        <w:rPr>
          <w:rFonts w:hint="eastAsia" w:ascii="仿宋_GB2312" w:hAnsi="仿宋_GB2312" w:eastAsia="仿宋_GB2312"/>
          <w:sz w:val="32"/>
          <w:lang w:val="en-US" w:eastAsia="zh-CN"/>
        </w:rPr>
        <w:t>经</w:t>
      </w:r>
      <w:r>
        <w:rPr>
          <w:rFonts w:ascii="仿宋_GB2312" w:hAnsi="仿宋_GB2312" w:eastAsia="仿宋_GB2312"/>
          <w:sz w:val="32"/>
        </w:rPr>
        <w:t>贸产业科、国防动员办公室。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2024年度收入总计467.01万元，</w:t>
      </w:r>
      <w:r>
        <w:rPr>
          <w:rFonts w:ascii="仿宋_GB2312" w:hAnsi="仿宋_GB2312" w:eastAsia="仿宋_GB2312"/>
          <w:b w:val="0"/>
          <w:sz w:val="32"/>
        </w:rPr>
        <w:t>其中：本年收入合计460.92万元，使用非财政拨款结余（含专用结余）0.00万元，年初结转和结余6.09万元。</w:t>
      </w:r>
    </w:p>
    <w:p>
      <w:pPr>
        <w:spacing w:line="580" w:lineRule="exact"/>
        <w:ind w:firstLine="640"/>
        <w:jc w:val="both"/>
      </w:pPr>
      <w:r>
        <w:rPr>
          <w:rFonts w:ascii="仿宋_GB2312" w:hAnsi="仿宋_GB2312" w:eastAsia="仿宋_GB2312"/>
          <w:b/>
          <w:sz w:val="32"/>
        </w:rPr>
        <w:t>2024年度支出总计467.01万元，</w:t>
      </w:r>
      <w:r>
        <w:rPr>
          <w:rFonts w:ascii="仿宋_GB2312" w:hAnsi="仿宋_GB2312" w:eastAsia="仿宋_GB2312"/>
          <w:b w:val="0"/>
          <w:sz w:val="32"/>
        </w:rPr>
        <w:t>其中：本年支出合计463.60万元，结余分配0.00万元，年末结转和结余3.41万元。</w:t>
      </w:r>
    </w:p>
    <w:p>
      <w:pPr>
        <w:spacing w:line="580" w:lineRule="exact"/>
        <w:ind w:firstLine="640"/>
        <w:jc w:val="both"/>
      </w:pPr>
      <w:r>
        <w:rPr>
          <w:rFonts w:ascii="仿宋_GB2312" w:hAnsi="仿宋_GB2312" w:eastAsia="仿宋_GB2312"/>
          <w:b w:val="0"/>
          <w:sz w:val="32"/>
        </w:rPr>
        <w:t>收入支出总体与上年相比，减少151.63万元，下降24.51%，主要原因是：本年减少融合粮保障创新示范项目、粮油储备支出补助、死亡抚恤支出。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本年收入460.92万元，</w:t>
      </w:r>
      <w:r>
        <w:rPr>
          <w:rFonts w:ascii="仿宋_GB2312" w:hAnsi="仿宋_GB2312" w:eastAsia="仿宋_GB2312"/>
          <w:b w:val="0"/>
          <w:sz w:val="32"/>
        </w:rPr>
        <w:t>其中：财政拨款收入457.85万元，占99.33%；上级补助收入0.00万元，占0.00%；事业收入0.00万元，占0.00%；经营收入0.00万元，占0.00%；附属单位上缴收入0.00万元，占0.00%；其他收入3.07万元，占0.67%。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本年支出463.60万元，</w:t>
      </w:r>
      <w:r>
        <w:rPr>
          <w:rFonts w:ascii="仿宋_GB2312" w:hAnsi="仿宋_GB2312" w:eastAsia="仿宋_GB2312"/>
          <w:b w:val="0"/>
          <w:sz w:val="32"/>
        </w:rPr>
        <w:t>其中：基本支出456.85万元，占98.54%；项目支出6.75万元，占1.46%；上缴上级支出0.00万元，占0.00%；经营支出0.00万元，占0.00%；对附属单位补助支出0.00万元，占0.00%。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2024年度财政拨款收入总计457.85万元，</w:t>
      </w:r>
      <w:r>
        <w:rPr>
          <w:rFonts w:ascii="仿宋_GB2312" w:hAnsi="仿宋_GB2312" w:eastAsia="仿宋_GB2312"/>
          <w:b w:val="0"/>
          <w:sz w:val="32"/>
        </w:rPr>
        <w:t>其中：年初财政拨款结转和结余0.00万元，本年财政拨款收入457.85万元。</w:t>
      </w:r>
      <w:r>
        <w:rPr>
          <w:rFonts w:ascii="仿宋_GB2312" w:hAnsi="仿宋_GB2312" w:eastAsia="仿宋_GB2312"/>
          <w:b/>
          <w:sz w:val="32"/>
        </w:rPr>
        <w:t>财政拨款支出总计457.85万元，</w:t>
      </w:r>
      <w:r>
        <w:rPr>
          <w:rFonts w:ascii="仿宋_GB2312" w:hAnsi="仿宋_GB2312" w:eastAsia="仿宋_GB2312"/>
          <w:b w:val="0"/>
          <w:sz w:val="32"/>
        </w:rPr>
        <w:t>其中：年末财政拨款结转和结余0.00万元，本年财政拨款支出457.85万元。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减少154.65万元，下降25.25%，主要原因是：本年减少融合粮保障创新示范项目、粮油储备支出补助、死亡抚恤支出。</w:t>
      </w:r>
      <w:r>
        <w:rPr>
          <w:rFonts w:ascii="仿宋_GB2312" w:hAnsi="仿宋_GB2312" w:eastAsia="仿宋_GB2312"/>
          <w:b/>
          <w:sz w:val="32"/>
        </w:rPr>
        <w:t>与年初预算相比，</w:t>
      </w:r>
      <w:r>
        <w:rPr>
          <w:rFonts w:ascii="仿宋_GB2312" w:hAnsi="仿宋_GB2312" w:eastAsia="仿宋_GB2312"/>
          <w:b w:val="0"/>
          <w:sz w:val="32"/>
        </w:rPr>
        <w:t>年初预算数472.17万元，决算数457.85万元，预决算差异率-3.03%，主要原因是：严格落实中央八项规定精神，厉行节约，减少不必要的开支。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2024年度一般公共预算财政拨款支出457.85万元，</w:t>
      </w:r>
      <w:r>
        <w:rPr>
          <w:rFonts w:ascii="仿宋_GB2312" w:hAnsi="仿宋_GB2312" w:eastAsia="仿宋_GB2312"/>
          <w:b w:val="0"/>
          <w:sz w:val="32"/>
        </w:rPr>
        <w:t>占本年支出合计的98.76%。</w:t>
      </w:r>
      <w:r>
        <w:rPr>
          <w:rFonts w:ascii="仿宋_GB2312" w:hAnsi="仿宋_GB2312" w:eastAsia="仿宋_GB2312"/>
          <w:b/>
          <w:sz w:val="32"/>
        </w:rPr>
        <w:t>与上年相比，</w:t>
      </w:r>
      <w:r>
        <w:rPr>
          <w:rFonts w:ascii="仿宋_GB2312" w:hAnsi="仿宋_GB2312" w:eastAsia="仿宋_GB2312"/>
          <w:b w:val="0"/>
          <w:sz w:val="32"/>
        </w:rPr>
        <w:t>减少154.65万元，下降25.25%，主要原因是：本年减少融合粮保障创新示范项目、粮油储备支出补助、死亡抚恤支出。</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年初预算数472.17万元，决算数457.85万元，预决算差异率-3.03%，主要原因是：严格落实中央八项规定精神，厉行节约，减少不必要的开支。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1.一般公共服务支出(类)347.47万元,占75.89%。</w:t>
      </w:r>
    </w:p>
    <w:p>
      <w:pPr>
        <w:spacing w:line="580" w:lineRule="exact"/>
        <w:ind w:firstLine="640"/>
        <w:jc w:val="both"/>
      </w:pPr>
      <w:r>
        <w:rPr>
          <w:rFonts w:ascii="仿宋_GB2312" w:hAnsi="仿宋_GB2312" w:eastAsia="仿宋_GB2312"/>
          <w:b w:val="0"/>
          <w:sz w:val="32"/>
        </w:rPr>
        <w:t>2.社会保障和就业支出(类)77.07万元,占16.83%。</w:t>
      </w:r>
    </w:p>
    <w:p>
      <w:pPr>
        <w:spacing w:line="580" w:lineRule="exact"/>
        <w:ind w:firstLine="640"/>
        <w:jc w:val="both"/>
      </w:pPr>
      <w:r>
        <w:rPr>
          <w:rFonts w:ascii="仿宋_GB2312" w:hAnsi="仿宋_GB2312" w:eastAsia="仿宋_GB2312"/>
          <w:b w:val="0"/>
          <w:sz w:val="32"/>
        </w:rPr>
        <w:t>3.卫生健康支出(类)9.89万元,占2.16%。</w:t>
      </w:r>
    </w:p>
    <w:p>
      <w:pPr>
        <w:spacing w:line="580" w:lineRule="exact"/>
        <w:ind w:firstLine="640"/>
        <w:jc w:val="both"/>
      </w:pPr>
      <w:r>
        <w:rPr>
          <w:rFonts w:ascii="仿宋_GB2312" w:hAnsi="仿宋_GB2312" w:eastAsia="仿宋_GB2312"/>
          <w:b w:val="0"/>
          <w:sz w:val="32"/>
        </w:rPr>
        <w:t>4.住房保障支出(类)23.42万元,占5.12%。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1.一般公共服务支出(类)发展与改革事务(款)行政运行(项):支出决算数为255.70万元，比上年决算增加16.99万元，增长7.12%,主要原因是：本年行政在职人员工资调增，导致相关人员经费较上年有所增加。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2.一般公共服务支出(类)发展与改革事务(款)事业运行(项):支出决算数为90.77万元，比上年决算减少2.98万元，下降3.18%,主要原因是：本年事业编制人员比上年减少，相应人员经费较上年减少。</w:t>
      </w:r>
    </w:p>
    <w:p>
      <w:pPr>
        <w:spacing w:line="580" w:lineRule="exact"/>
        <w:ind w:firstLine="640"/>
        <w:jc w:val="both"/>
      </w:pPr>
      <w:r>
        <w:rPr>
          <w:rFonts w:ascii="仿宋_GB2312" w:hAnsi="仿宋_GB2312" w:eastAsia="仿宋_GB2312"/>
          <w:b w:val="0"/>
          <w:sz w:val="32"/>
        </w:rPr>
        <w:t>3.一般公共服务支出(类)组织事务(款)其他组织事务支出(项):支出决算数为1.00万元，比上年决算减少3.48万元，下降77.68%,主要原因是：本年第一书记经费较上年减少。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4.社会保障和就业支出(类)行政事业单位养老支出(款)行政单位离退休(项):支出决算数为46.76万元，比上年决算增加8.05万元，增长20.80%,主要原因是：本年增加退休人员基础绩效奖，退休费支出增加。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5.社会保障和就业支出(类)行政事业单位养老支出(款)事业单位离退休(项):支出决算数为1.39万元，比上年决算增加0.88万元，增长172.55%,主要原因是：本年增加退休人员基础绩效奖，退休费支出增加。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28.93万元，比上年决算减少1.72万元，下降5.61%,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26.28万元，下降100.00%,主要原因是：本年无新增退休人员及跨县调出人员，导致经费较上年减少。</w:t>
      </w:r>
    </w:p>
    <w:p>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8.社会保障和就业支出(类)抚恤(款)死亡抚恤(项):支出决算数为0.00万元，比上年决算减少18.33万元，下降100.00%,主要原因是：本年无死亡人员，死亡抚恤支出较上年减少。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9.卫生健康支出(类)行政事业单位医疗(款)行政单位医疗(项):支出决算数为6.53万元，比上年决算减少2.70万元，下降29.25%,主要原因是：本年行政</w:t>
      </w:r>
      <w:r>
        <w:rPr>
          <w:rFonts w:hint="eastAsia" w:ascii="仿宋_GB2312" w:hAnsi="仿宋_GB2312" w:eastAsia="仿宋_GB2312"/>
          <w:b w:val="0"/>
          <w:sz w:val="32"/>
          <w:lang w:val="en-US" w:eastAsia="zh-CN"/>
        </w:rPr>
        <w:t>单位</w:t>
      </w:r>
      <w:r>
        <w:rPr>
          <w:rFonts w:ascii="仿宋_GB2312" w:hAnsi="仿宋_GB2312" w:eastAsia="仿宋_GB2312"/>
          <w:b w:val="0"/>
          <w:sz w:val="32"/>
        </w:rPr>
        <w:t>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10.卫生健康支出(类)行政事业单位医疗(款)事业单位医疗(项):支出决算数为3.36万元，比上年决算增加0.24万元，增长7.69%,主要原因是：本年事业在职人员工资基数调增，医疗缴费基数上涨，相应支出增加。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23.42万元，比上年决算减少2.71万元，下降10.37%,主要原因是：本年在职人员调入调出，人员职级不同，缴费基数不同，导致住房公积金较上年减少。</w:t>
      </w:r>
    </w:p>
    <w:p>
      <w:pPr>
        <w:spacing w:line="580" w:lineRule="exact"/>
        <w:ind w:firstLine="640"/>
        <w:jc w:val="both"/>
      </w:pPr>
      <w:r>
        <w:rPr>
          <w:rFonts w:ascii="仿宋_GB2312" w:hAnsi="仿宋_GB2312" w:eastAsia="仿宋_GB2312"/>
          <w:b w:val="0"/>
          <w:sz w:val="32"/>
        </w:rPr>
        <w:t>12.粮油物资储备支出(类)粮油物资事务(款)专项业务活动(项):支出决算数为0.00万元，比上年决算减少111.44万元，下降100.00%,主要原因是：本年减少创新示范项目。</w:t>
      </w:r>
    </w:p>
    <w:p>
      <w:pPr>
        <w:spacing w:line="580" w:lineRule="exact"/>
        <w:ind w:firstLine="640"/>
        <w:jc w:val="both"/>
      </w:pPr>
      <w:r>
        <w:rPr>
          <w:rFonts w:ascii="仿宋_GB2312" w:hAnsi="仿宋_GB2312" w:eastAsia="仿宋_GB2312"/>
          <w:b w:val="0"/>
          <w:sz w:val="32"/>
        </w:rPr>
        <w:t>13.粮油物资储备支出(类)粮油储备(款)其他粮油储备支出(项):支出决算数为0.00万元，比上年决算减少11.18万元，下降100.00%,主要原因是：本年减少粮油储备支出补助。</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2024年度一般公共预算财政拨款基本支出456.85万元，其中：</w:t>
      </w:r>
      <w:r>
        <w:rPr>
          <w:rFonts w:ascii="仿宋_GB2312" w:hAnsi="仿宋_GB2312" w:eastAsia="仿宋_GB2312"/>
          <w:b/>
          <w:sz w:val="32"/>
        </w:rPr>
        <w:t>人员经费338.14万元，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公用经费118.71万元，</w:t>
      </w:r>
      <w:r>
        <w:rPr>
          <w:rFonts w:ascii="仿宋_GB2312" w:hAnsi="仿宋_GB2312" w:eastAsia="仿宋_GB2312"/>
          <w:b w:val="0"/>
          <w:sz w:val="32"/>
        </w:rPr>
        <w:t>包括：办公费、水费、电费、邮电费、取暖费、物业管理费、差旅费、维修（护）费、租赁费、专用材料费、公务用车运行维护费、办公设备购置、费用补贴、其他对企业补助。</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2024年度财政拨款“三公”经费支出2.38万元，</w:t>
      </w:r>
      <w:r>
        <w:rPr>
          <w:rFonts w:ascii="仿宋_GB2312" w:hAnsi="仿宋_GB2312" w:eastAsia="仿宋_GB2312"/>
          <w:b w:val="0"/>
          <w:sz w:val="32"/>
        </w:rPr>
        <w:t>比上年减少1.02万元，下降30.00%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2.38万元，占100.00%，比上年减少1.02万元，下降30.00%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bookmarkStart w:id="0" w:name="_GoBack"/>
      <w:bookmarkEnd w:id="0"/>
      <w:r>
        <w:rPr>
          <w:rFonts w:ascii="仿宋_GB2312" w:hAnsi="仿宋_GB2312" w:eastAsia="仿宋_GB2312"/>
          <w:b w:val="0"/>
          <w:sz w:val="32"/>
        </w:rPr>
        <w:t>，因公出国（境）0人次。</w:t>
      </w:r>
    </w:p>
    <w:p>
      <w:pPr>
        <w:spacing w:line="580" w:lineRule="exact"/>
        <w:ind w:firstLine="640"/>
        <w:jc w:val="both"/>
      </w:pPr>
      <w:r>
        <w:rPr>
          <w:rFonts w:ascii="仿宋_GB2312" w:hAnsi="仿宋_GB2312" w:eastAsia="仿宋_GB2312"/>
          <w:b w:val="0"/>
          <w:sz w:val="32"/>
        </w:rPr>
        <w:t>公务用车购置及运行维护费2.38万元，其中：公务用车购置费0.00万元，公务用车运行维护费2.38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2.38万元，决算数2.38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2.38万元，决算数2.38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2024年度阿图什市发展和改革委员会（行政单位和参照公务员法管理事业单位）机关运行经费支出118.71万元，比上年增加51.44万元，增长76.47%，主要原因是：本年增加</w:t>
      </w:r>
      <w:r>
        <w:rPr>
          <w:rFonts w:hint="eastAsia" w:ascii="仿宋_GB2312" w:hAnsi="仿宋_GB2312" w:eastAsia="仿宋_GB2312"/>
          <w:b w:val="0"/>
          <w:sz w:val="32"/>
          <w:lang w:val="en-US" w:eastAsia="zh-CN"/>
        </w:rPr>
        <w:t>企业的</w:t>
      </w:r>
      <w:r>
        <w:rPr>
          <w:rFonts w:ascii="仿宋_GB2312" w:hAnsi="仿宋_GB2312" w:eastAsia="仿宋_GB2312"/>
          <w:b w:val="0"/>
          <w:sz w:val="32"/>
        </w:rPr>
        <w:t>费用补贴，导致运行经费增加。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2024年度政府采购支出总额13.84万元，其中：政府采购货物支出7.17万元、政府采购工程支出3.25万元、政府采购服务支出3.41万元。</w:t>
      </w:r>
    </w:p>
    <w:p>
      <w:pPr>
        <w:spacing w:line="580" w:lineRule="exact"/>
        <w:ind w:firstLine="640"/>
        <w:jc w:val="both"/>
      </w:pPr>
      <w:r>
        <w:rPr>
          <w:rFonts w:ascii="仿宋_GB2312" w:hAnsi="仿宋_GB2312" w:eastAsia="仿宋_GB2312"/>
          <w:b w:val="0"/>
          <w:sz w:val="32"/>
        </w:rPr>
        <w:t>授予中小企业合同金额13.68万元，占政府采购支出总额的98.84%，其中：授予小微企业合同金额9.33万元，占政府采购支出总额的67.41%。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26.50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根据预算绩效管理要求，本单位2024年度预算绩效管理形成整体支出绩效自评表1个，全年预算总额467.00万元，实际执行总额463.60万元；预算绩效评价项目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139.29</w:t>
      </w:r>
      <w:r>
        <w:rPr>
          <w:rFonts w:ascii="仿宋_GB2312" w:hAnsi="仿宋_GB2312" w:eastAsia="仿宋_GB2312"/>
          <w:b w:val="0"/>
          <w:sz w:val="32"/>
        </w:rPr>
        <w:t>万元，全年执行数</w:t>
      </w:r>
      <w:r>
        <w:rPr>
          <w:rFonts w:hint="eastAsia" w:ascii="仿宋_GB2312" w:hAnsi="仿宋_GB2312" w:eastAsia="仿宋_GB2312"/>
          <w:b w:val="0"/>
          <w:sz w:val="32"/>
        </w:rPr>
        <w:t>112.32</w:t>
      </w:r>
      <w:r>
        <w:rPr>
          <w:rFonts w:ascii="仿宋_GB2312" w:hAnsi="仿宋_GB2312" w:eastAsia="仿宋_GB2312"/>
          <w:b w:val="0"/>
          <w:sz w:val="32"/>
        </w:rPr>
        <w:t>万元。预算绩效管理取得的成效：一是为加强预算管理，规范财务行为，已制定各项管理制度，有效保障了高效履行工作职能，二是加强了制度建设，打牢绩效管理工作基础。发现的问题及原因：一是财政绩效管理有待提高。相关绩效管理方面专业知识的系统性学习有待加强。二是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463.60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提出阿图什市国民经济和社会发展战略、中长期规划和年度发展计划，贯彻执行国家的国民经济和社会发展方针、政策；协调阿图什市经济社会发展，研究分析阿图什市经济形势，提出国民经济发展、价格总水平调控和优化经济结构的目标、政策及调控建议。牵头组织统一规划体系建设。负责市级发展规划、 区域规划、空间规划与阿图什市发展规划的统筹衔接。 </w:t>
            </w:r>
            <w:r>
              <w:rPr>
                <w:rFonts w:ascii="宋体" w:hAnsi="宋体" w:eastAsia="宋体"/>
                <w:sz w:val="16"/>
              </w:rPr>
              <w:br w:type="textWrapping"/>
            </w:r>
            <w:r>
              <w:rPr>
                <w:rFonts w:ascii="宋体" w:hAnsi="宋体" w:eastAsia="宋体"/>
                <w:sz w:val="16"/>
              </w:rPr>
              <w:t xml:space="preserve">机构设置及人员配置：下设9个科室，编制数24，实有人数51人，在职16人，退休35人。 </w:t>
            </w:r>
            <w:r>
              <w:rPr>
                <w:rFonts w:ascii="宋体" w:hAnsi="宋体" w:eastAsia="宋体"/>
                <w:sz w:val="16"/>
              </w:rPr>
              <w:br w:type="textWrapping"/>
            </w:r>
            <w:r>
              <w:rPr>
                <w:rFonts w:ascii="宋体" w:hAnsi="宋体" w:eastAsia="宋体"/>
                <w:sz w:val="16"/>
              </w:rPr>
              <w:t>中长期规划：2023年是全面贯彻落实党的二十大精神的开局之年，市发改委将在市委、市政府的正确领导下，紧紧围绕自治州制定的各项经济指标以及王学东书记提出的三大布局、四大产业，立足当前、着眼长远，抓经济落到指标上、抓项目落到投资上、抓民生落到实事上、真正把嘴上说的、文件写的变成看得见摸得着的具体举措和实际成效，紧盯目标任务，坚定信心、加压奋进，以时不我待的紧迫感、只争朝夕的使命感、勇于担当的责任感将各项工作抓实抓细，努力为全市经济社会发展贡献力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463.6万元，用于保障部门在职16人，退休35人的工资福利、各项补助正常发放及部门单位正常运转，单位预算项目根据年初计划均已完成，协调阿图什市经济社会发展，研究分析阿图什市经济形势，提出国民经济发展、价格总水平调控和优化经济结构的目标、政策及调控建议，负责市级发展规划、 区域规划、空间规划与阿图什市发展规划的统筹衔接，年度任务中完成固定资产投资项目87个，审批新建基础设施建设项目44个，粮食应急供应网点20个等目标。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固定资产投资项目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审批新建基础设施建设项目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粮食应急供应网点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粮食安全监管覆盖率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排查安全生产及煤改电工作覆盖率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全市重点项目编制和申报相关业务费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根据阿图什市重点项目管理要求，本项目资金15万元计划用于开展2023年101个重点项目对接和相关培训工作，有效推动项目顺利实施。</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本项目共计支出14.8235万元，用于重点项目数量101个，会议培训次数20次；通过实施本项目对2023年101个重点项目开展对接和相关培训工作，有效推动项目顺利实施。</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重点项目编制检查成本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办公设备采购项目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项目资金5.8万元，主要用于采购档案柜4组费用0.24万元、电脑及打印机2台费用5.05万元、保密柜及碎纸机费用0.51万元，达到保障机构正常运转效果。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本项目共计支出2.24万元，用于采购档案柜4组，采购电脑及打印机数量2台，采购保密柜及碎纸机2台；通过实施本项目达到保障机构正常运转效果。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采购档案柜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采购电脑及打印机数量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采购保密柜及碎纸机数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采购档案柜成本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电脑及打印机费用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保密柜及碎纸机费用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保障机构正常运转效果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安全生产检查费用项目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项目资金2.35万元，用于对发电企业、长输管线、电力运行企业每月安全生产检查车辆运行费1.1万元、检查服装费0.75万元、宣传费0.5万元，达到保障机构正常运转效果。</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本项目共计支出1.2625万元，用于安全生产检查车辆数2辆，采购检查服装数量2套，印刷宣传次数2次；通过实施本项目达到保障机构正常运转效果。</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安全生产检查车辆数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采购检查服装数量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安全生产检查车辆费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采购检查服装费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743"/>
        <w:gridCol w:w="585"/>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应急商品粮储备利息、保管费用，成品粮油代储费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项目资金17.9408万元，其中：1000吨原粮利息62558.89元，保管费66849.31元，应急米面油保管费5万元，应对突发事件和发生自然灾害时的粮食保障能力。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本项目共计支出12.94万元，用于应急商品粮量1000吨，应急商品粮储备保管期限8个月；通过实施本项目提升</w:t>
            </w:r>
            <w:r>
              <w:rPr>
                <w:rFonts w:hint="eastAsia" w:ascii="宋体" w:hAnsi="宋体"/>
                <w:sz w:val="16"/>
                <w:lang w:eastAsia="zh-CN"/>
              </w:rPr>
              <w:t>应对</w:t>
            </w:r>
            <w:r>
              <w:rPr>
                <w:rFonts w:ascii="宋体" w:hAnsi="宋体" w:eastAsia="宋体"/>
                <w:sz w:val="16"/>
              </w:rPr>
              <w:t xml:space="preserve">突发事件和发生自然灾害时的粮食保障能力。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应急商品粮量</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应急商品粮储备保管期限</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1000吨原粮利息费</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应急商品粮保管费</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应急米面油保管费</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r>
              <w:rPr>
                <w:rFonts w:hint="eastAsia" w:ascii="宋体" w:hAnsi="宋体"/>
                <w:sz w:val="16"/>
                <w:lang w:eastAsia="zh-CN"/>
              </w:rPr>
              <w:t>应对</w:t>
            </w:r>
            <w:r>
              <w:rPr>
                <w:rFonts w:ascii="宋体" w:hAnsi="宋体" w:eastAsia="宋体"/>
                <w:sz w:val="16"/>
              </w:rPr>
              <w:t>突发事件和发生自然灾害时的粮食保障能力</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4"/>
        <w:gridCol w:w="624"/>
        <w:gridCol w:w="629"/>
        <w:gridCol w:w="776"/>
        <w:gridCol w:w="624"/>
        <w:gridCol w:w="624"/>
        <w:gridCol w:w="627"/>
        <w:gridCol w:w="624"/>
        <w:gridCol w:w="627"/>
        <w:gridCol w:w="776"/>
        <w:gridCol w:w="631"/>
        <w:gridCol w:w="615"/>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应急物资储备库运行费项目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57.2%</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31.2万元，其中：办公楼卫生间改造、楼道维修、库房屋面防水改造费用15.6万元，叉车保养柴油发电机柴油费0.3万元，物资库房日常维修费3万元，聘用临时装卸工费用8万元，日常办公费、电、水、垃圾费4.</w:t>
            </w:r>
            <w:r>
              <w:rPr>
                <w:rFonts w:hint="eastAsia" w:ascii="宋体" w:hAnsi="宋体"/>
                <w:sz w:val="16"/>
                <w:lang w:eastAsia="zh-CN"/>
              </w:rPr>
              <w:t>3</w:t>
            </w:r>
            <w:r>
              <w:rPr>
                <w:rFonts w:ascii="宋体" w:hAnsi="宋体" w:eastAsia="宋体"/>
                <w:sz w:val="16"/>
              </w:rPr>
              <w:t>万元。达到保障机构正常运转效果。</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本项目共计支出17.8598万元，用于维护维修物资库房数1个，保养柴油发电机数量10个，聘用临时装卸工次数8次，日常缴纳水电费期限12个月；通过实施本项目达到保障机构正常运转效果。</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维护维修物资库房数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保养柴油发电机数量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聘用临时装卸工次数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日常缴纳水电费期限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维护维修物资库房费用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&lt;=18.60万元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=9.6098万元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叉车保养柴油发电机柴油费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聘用临时装卸工费用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日常办公费、电、水、垃圾费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&lt;=4.30万元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保障机构正常运转效果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67.8分</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粮食质量安全检查和检测费用项目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项目资金3.5万元，其中：保障检查车辆运行（油费和修车费）1.86万元、第三方出具粮食质量安全检测报告成本0.5万元、印刷粮食安全宣传材料成本0.5万元、其他费用成本0.64万元，达到保障机构正常运转效果。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本项目已完成保障检查车辆运行数2辆，因部分自出资料不齐全，资金未拨付；通过实施本项目达到保障机构正常运转效果。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保障检查车辆运行数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应聘第三方企业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印刷粮食安全宣传材料次数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保障检查车辆运行费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第三方出粮食质量安全检测报告成本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印刷粮食安全宣传材料成本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确保粮食质量安全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原因：部分指标未完成，因此该指标实现部分目标；措施：今后做好项目计划，减少偏差。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阿图什市第十四个五年规划中期评估报告项目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根据《自治区、自治州</w:t>
            </w:r>
            <w:r>
              <w:rPr>
                <w:rFonts w:hint="eastAsia" w:ascii="宋体" w:hAnsi="宋体"/>
                <w:sz w:val="16"/>
                <w:lang w:eastAsia="zh-CN"/>
              </w:rPr>
              <w:t>“十四五”发展规划</w:t>
            </w:r>
            <w:r>
              <w:rPr>
                <w:rFonts w:ascii="宋体" w:hAnsi="宋体" w:eastAsia="宋体"/>
                <w:sz w:val="16"/>
              </w:rPr>
              <w:t>纲要调整》要求对阿图什市</w:t>
            </w:r>
            <w:r>
              <w:rPr>
                <w:rFonts w:hint="eastAsia" w:ascii="宋体" w:hAnsi="宋体"/>
                <w:sz w:val="16"/>
                <w:lang w:eastAsia="zh-CN"/>
              </w:rPr>
              <w:t>“十四五”发展规划</w:t>
            </w:r>
            <w:r>
              <w:rPr>
                <w:rFonts w:ascii="宋体" w:hAnsi="宋体" w:eastAsia="宋体"/>
                <w:sz w:val="16"/>
              </w:rPr>
              <w:t>纲要按期调整，项目资金13.5万元，用于编制阿图什市第十四个五年规划中期调整报告技术咨询和服务费用，确保完成“十四五”各项经济指标任务。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本项目共计支出13.2万元，用于</w:t>
            </w:r>
            <w:r>
              <w:rPr>
                <w:rFonts w:hint="eastAsia" w:ascii="宋体" w:hAnsi="宋体"/>
                <w:sz w:val="16"/>
                <w:lang w:eastAsia="zh-CN"/>
              </w:rPr>
              <w:t>“十四五”发展规划</w:t>
            </w:r>
            <w:r>
              <w:rPr>
                <w:rFonts w:ascii="宋体" w:hAnsi="宋体" w:eastAsia="宋体"/>
                <w:sz w:val="16"/>
              </w:rPr>
              <w:t>纲要中期评估报告1份，应聘第三方企业1家；通过实施本项目确保完成“十四五”各项经济指标任务。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“十四五”发展规划</w:t>
            </w:r>
            <w:r>
              <w:rPr>
                <w:rFonts w:ascii="宋体" w:hAnsi="宋体" w:eastAsia="宋体"/>
                <w:sz w:val="16"/>
              </w:rPr>
              <w:t>纲要中期评估报告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应聘第三方企业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评估报告合格率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w:t>
            </w:r>
            <w:r>
              <w:rPr>
                <w:rFonts w:hint="eastAsia" w:ascii="宋体" w:hAnsi="宋体"/>
                <w:sz w:val="16"/>
                <w:lang w:eastAsia="zh-CN"/>
              </w:rPr>
              <w:t>“十四五”发展规划</w:t>
            </w:r>
            <w:r>
              <w:rPr>
                <w:rFonts w:ascii="宋体" w:hAnsi="宋体" w:eastAsia="宋体"/>
                <w:sz w:val="16"/>
              </w:rPr>
              <w:t>经济指标确保目标任务完成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50.00</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50.00</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315020"/>
    <w:rsid w:val="021B7195"/>
    <w:rsid w:val="02F73D26"/>
    <w:rsid w:val="034D4FEF"/>
    <w:rsid w:val="043E5B56"/>
    <w:rsid w:val="065F786B"/>
    <w:rsid w:val="06792773"/>
    <w:rsid w:val="09A729D8"/>
    <w:rsid w:val="0A3C58E8"/>
    <w:rsid w:val="0A7B4867"/>
    <w:rsid w:val="0B8C3ECC"/>
    <w:rsid w:val="0C3613A3"/>
    <w:rsid w:val="0C7227A7"/>
    <w:rsid w:val="0DCA6EF7"/>
    <w:rsid w:val="0E4B1576"/>
    <w:rsid w:val="0EA04331"/>
    <w:rsid w:val="0F9811B3"/>
    <w:rsid w:val="11E15093"/>
    <w:rsid w:val="120E0809"/>
    <w:rsid w:val="13AF5BDE"/>
    <w:rsid w:val="15042AAD"/>
    <w:rsid w:val="15DB0FBE"/>
    <w:rsid w:val="19071D6C"/>
    <w:rsid w:val="191D382E"/>
    <w:rsid w:val="197B6E5F"/>
    <w:rsid w:val="19B5554D"/>
    <w:rsid w:val="1B8F2D19"/>
    <w:rsid w:val="1C317E4F"/>
    <w:rsid w:val="1C472464"/>
    <w:rsid w:val="1DAF458D"/>
    <w:rsid w:val="1E086ACE"/>
    <w:rsid w:val="1E130673"/>
    <w:rsid w:val="1E4B5CA5"/>
    <w:rsid w:val="1EAA4A5F"/>
    <w:rsid w:val="1F587A0B"/>
    <w:rsid w:val="1FDD0098"/>
    <w:rsid w:val="2064678E"/>
    <w:rsid w:val="20BC0B75"/>
    <w:rsid w:val="20DD6197"/>
    <w:rsid w:val="21F317F2"/>
    <w:rsid w:val="2241392C"/>
    <w:rsid w:val="23BC04D2"/>
    <w:rsid w:val="25275618"/>
    <w:rsid w:val="261957C7"/>
    <w:rsid w:val="27A8113C"/>
    <w:rsid w:val="27CE017C"/>
    <w:rsid w:val="27CF2642"/>
    <w:rsid w:val="27F33C13"/>
    <w:rsid w:val="282459E2"/>
    <w:rsid w:val="29116777"/>
    <w:rsid w:val="2A053397"/>
    <w:rsid w:val="2A444FB1"/>
    <w:rsid w:val="2A6064E2"/>
    <w:rsid w:val="2C1965E9"/>
    <w:rsid w:val="2D1136DF"/>
    <w:rsid w:val="2DAE0E44"/>
    <w:rsid w:val="2FD27414"/>
    <w:rsid w:val="313F1D52"/>
    <w:rsid w:val="318029AB"/>
    <w:rsid w:val="31C63837"/>
    <w:rsid w:val="31DD0A08"/>
    <w:rsid w:val="326F0A17"/>
    <w:rsid w:val="3277581B"/>
    <w:rsid w:val="330E5EA8"/>
    <w:rsid w:val="38006E2C"/>
    <w:rsid w:val="3914510A"/>
    <w:rsid w:val="3B1220C9"/>
    <w:rsid w:val="3B166504"/>
    <w:rsid w:val="3D5275AC"/>
    <w:rsid w:val="3E1B5678"/>
    <w:rsid w:val="3E7F3470"/>
    <w:rsid w:val="3EA7725F"/>
    <w:rsid w:val="3EC014A1"/>
    <w:rsid w:val="40834692"/>
    <w:rsid w:val="423A32B2"/>
    <w:rsid w:val="423C0CB4"/>
    <w:rsid w:val="427B5743"/>
    <w:rsid w:val="42E64542"/>
    <w:rsid w:val="464B7E04"/>
    <w:rsid w:val="464F7E64"/>
    <w:rsid w:val="46901EEE"/>
    <w:rsid w:val="469C74D2"/>
    <w:rsid w:val="47445515"/>
    <w:rsid w:val="48AE7D2C"/>
    <w:rsid w:val="4B4C0111"/>
    <w:rsid w:val="4BB23021"/>
    <w:rsid w:val="4F3F074E"/>
    <w:rsid w:val="50234B41"/>
    <w:rsid w:val="50DB5F45"/>
    <w:rsid w:val="52F92565"/>
    <w:rsid w:val="5333269B"/>
    <w:rsid w:val="543D17CB"/>
    <w:rsid w:val="55DA564E"/>
    <w:rsid w:val="56E07045"/>
    <w:rsid w:val="583059FA"/>
    <w:rsid w:val="587E6212"/>
    <w:rsid w:val="596B5C79"/>
    <w:rsid w:val="5AFC6609"/>
    <w:rsid w:val="5FA17648"/>
    <w:rsid w:val="5FD320BD"/>
    <w:rsid w:val="60DE4D57"/>
    <w:rsid w:val="613409CB"/>
    <w:rsid w:val="61A46A97"/>
    <w:rsid w:val="61A47750"/>
    <w:rsid w:val="62BB46D7"/>
    <w:rsid w:val="62DD7D21"/>
    <w:rsid w:val="63B93B46"/>
    <w:rsid w:val="65D97752"/>
    <w:rsid w:val="664C500C"/>
    <w:rsid w:val="67D111AB"/>
    <w:rsid w:val="68DB0208"/>
    <w:rsid w:val="68DF36D5"/>
    <w:rsid w:val="69846A0E"/>
    <w:rsid w:val="69AD798C"/>
    <w:rsid w:val="6A024818"/>
    <w:rsid w:val="6B68175F"/>
    <w:rsid w:val="6B8B5C99"/>
    <w:rsid w:val="6C7F6B78"/>
    <w:rsid w:val="6CA7198F"/>
    <w:rsid w:val="6D8919A8"/>
    <w:rsid w:val="6E0F7A08"/>
    <w:rsid w:val="6E801ABC"/>
    <w:rsid w:val="71473612"/>
    <w:rsid w:val="718F7F65"/>
    <w:rsid w:val="73423603"/>
    <w:rsid w:val="737A5923"/>
    <w:rsid w:val="73CC6C61"/>
    <w:rsid w:val="73DE4104"/>
    <w:rsid w:val="73FB6630"/>
    <w:rsid w:val="74CE04EC"/>
    <w:rsid w:val="74E76DCD"/>
    <w:rsid w:val="76660D7C"/>
    <w:rsid w:val="77ED6F44"/>
    <w:rsid w:val="795A0A34"/>
    <w:rsid w:val="7A0D3BC7"/>
    <w:rsid w:val="7A3A3CDB"/>
    <w:rsid w:val="7D5F20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5385</Words>
  <Characters>6113</Characters>
  <Lines>0</Lines>
  <Paragraphs>0</Paragraphs>
  <TotalTime>50</TotalTime>
  <ScaleCrop>false</ScaleCrop>
  <LinksUpToDate>false</LinksUpToDate>
  <CharactersWithSpaces>6121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2025-11-06T04:52:18Z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