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阿图什市信访局</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（1）贯彻落实党中央、自治区、自治州党委和市委、市政府及上级主管部门关于信访工作的方针、政策和法规，做好阿图什市信访工作。</w:t>
      </w:r>
    </w:p>
    <w:p>
      <w:pPr>
        <w:spacing w:line="580" w:lineRule="exact"/>
        <w:ind w:firstLine="640"/>
        <w:jc w:val="both"/>
      </w:pPr>
      <w:r>
        <w:rPr>
          <w:rFonts w:ascii="仿宋_GB2312" w:hAnsi="仿宋_GB2312" w:eastAsia="仿宋_GB2312"/>
          <w:sz w:val="32"/>
        </w:rPr>
        <w:t>（2）根据自治区、自治州有关信访工作的方针政策和法规，结合阿图什市信访工作实际，研究制定贯彻、宣传、落实的措施、方法，并组织实施。深入各乡镇（街道）、村（社区）调查研究，总结推广好的做法、经验，提出改进和加强信访工作的意见和建议。代表市委、市人民政府受理人民群众给市委、市人民政府及其主要领导人的来信，为来信来访群众提供有关法律、法规和政策咨询服务，向市委、市人民政府反映来信来访提出的重要建议、意见和问题。</w:t>
      </w:r>
    </w:p>
    <w:p>
      <w:pPr>
        <w:spacing w:line="580" w:lineRule="exact"/>
        <w:ind w:firstLine="640"/>
        <w:jc w:val="both"/>
      </w:pPr>
      <w:r>
        <w:rPr>
          <w:rFonts w:ascii="仿宋_GB2312" w:hAnsi="仿宋_GB2312" w:eastAsia="仿宋_GB2312"/>
          <w:sz w:val="32"/>
        </w:rPr>
        <w:t>（3）负责“市长信箱”的日常受理、处理、查办工作。综合分析研判信访形势，开展调查研究，征集群众建议，及时向市委、市人民政府提供信访信息。承办上级领导机关、市委、市人民政府领导交办的信访事项，督促检查领导批示件落实情况；向有关单位交办信访事项；督促、检查和反馈重要信访事项的处理和落实情况。</w:t>
      </w:r>
    </w:p>
    <w:p>
      <w:pPr>
        <w:spacing w:line="580" w:lineRule="exact"/>
        <w:ind w:firstLine="640"/>
        <w:jc w:val="both"/>
      </w:pPr>
      <w:r>
        <w:rPr>
          <w:rFonts w:ascii="仿宋_GB2312" w:hAnsi="仿宋_GB2312" w:eastAsia="仿宋_GB2312"/>
          <w:sz w:val="32"/>
        </w:rPr>
        <w:t>（4）协调处理跨部门信访事项</w:t>
      </w:r>
      <w:r>
        <w:rPr>
          <w:rFonts w:hint="eastAsia" w:ascii="仿宋_GB2312" w:hAnsi="仿宋_GB2312" w:eastAsia="仿宋_GB2312"/>
          <w:sz w:val="32"/>
          <w:lang w:val="en-US" w:eastAsia="zh-CN"/>
        </w:rPr>
        <w:t>,</w:t>
      </w:r>
      <w:r>
        <w:rPr>
          <w:rFonts w:ascii="仿宋_GB2312" w:hAnsi="仿宋_GB2312" w:eastAsia="仿宋_GB2312"/>
          <w:sz w:val="32"/>
        </w:rPr>
        <w:t>检查、协调做好阿图什市党政军各部门的信访工作。了解掌握信访工作队伍建设情况，做好信访干部的培训，落实信访信息化建设。</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阿图什市信访局2024年度，实有人数16人，其中：在职人员10人，减少2人；离休人员0人，增加0人；退休人员6人</w:t>
      </w:r>
      <w:r>
        <w:rPr>
          <w:rFonts w:hint="eastAsia" w:ascii="仿宋_GB2312" w:hAnsi="仿宋_GB2312" w:eastAsia="仿宋_GB2312"/>
          <w:sz w:val="32"/>
          <w:lang w:eastAsia="zh-CN"/>
        </w:rPr>
        <w:t>，</w:t>
      </w:r>
      <w:r>
        <w:rPr>
          <w:rFonts w:ascii="仿宋_GB2312" w:hAnsi="仿宋_GB2312" w:eastAsia="仿宋_GB2312"/>
          <w:sz w:val="32"/>
        </w:rPr>
        <w:t>增加2人。</w:t>
      </w:r>
    </w:p>
    <w:p>
      <w:pPr>
        <w:spacing w:line="580" w:lineRule="exact"/>
        <w:ind w:firstLine="640"/>
        <w:jc w:val="both"/>
      </w:pPr>
      <w:r>
        <w:rPr>
          <w:rFonts w:ascii="仿宋_GB2312" w:hAnsi="仿宋_GB2312" w:eastAsia="仿宋_GB2312"/>
          <w:sz w:val="32"/>
        </w:rPr>
        <w:t>阿图什市信访局无下属预算单位，下设3个科室，分别是：督查科、综合科、来访接待中心科。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2024年度收入总计238.68万元，</w:t>
      </w:r>
      <w:r>
        <w:rPr>
          <w:rFonts w:ascii="仿宋_GB2312" w:hAnsi="仿宋_GB2312" w:eastAsia="仿宋_GB2312"/>
          <w:b w:val="0"/>
          <w:sz w:val="32"/>
        </w:rPr>
        <w:t>其中：本年收入合计238.68万元，使用非财政拨款结余（含专用结余）0.00万元，年初结转和结余0.00万元。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2024年度支出总计238.68万元，</w:t>
      </w:r>
      <w:r>
        <w:rPr>
          <w:rFonts w:ascii="仿宋_GB2312" w:hAnsi="仿宋_GB2312" w:eastAsia="仿宋_GB2312"/>
          <w:b w:val="0"/>
          <w:sz w:val="32"/>
        </w:rPr>
        <w:t>其中：本年支出合计238.68万元，结余分配0.00万元，年末结转和结余0.00万元。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收入支出总体与上年相比，减少21.18万元，下降8.15%，主要原因是：本年在职人员减少，相关人员经费较上年减少。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本年收入238.68万元，</w:t>
      </w:r>
      <w:r>
        <w:rPr>
          <w:rFonts w:ascii="仿宋_GB2312" w:hAnsi="仿宋_GB2312" w:eastAsia="仿宋_GB2312"/>
          <w:b w:val="0"/>
          <w:sz w:val="32"/>
        </w:rPr>
        <w:t>其中：财政拨款收入238.68万元，占100.00%；上级补助收入0.00万元，占0.00%；事业收入0.00万元，占0.00%；经营收入0.00万元，占0.00%；附属单位上缴收入0.00万元，占0.00%；其他收入0.00万元，占0.00%。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本年支出238.68万元，</w:t>
      </w:r>
      <w:r>
        <w:rPr>
          <w:rFonts w:ascii="仿宋_GB2312" w:hAnsi="仿宋_GB2312" w:eastAsia="仿宋_GB2312"/>
          <w:b w:val="0"/>
          <w:sz w:val="32"/>
        </w:rPr>
        <w:t>其中：基本支出217.07万元，占90.95%；项目支出21.61万元，占9.05%；上缴上级支出0.00万元，占0.00%；经营支出0.00万元，占0.00%；对附属单位补助支出0.00万元，占0.00%。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2024年度财政拨款收入总计238.68万元，</w:t>
      </w:r>
      <w:r>
        <w:rPr>
          <w:rFonts w:ascii="仿宋_GB2312" w:hAnsi="仿宋_GB2312" w:eastAsia="仿宋_GB2312"/>
          <w:b w:val="0"/>
          <w:sz w:val="32"/>
        </w:rPr>
        <w:t>其中：年初财政拨款结转和结余0.00万元，本年财政拨款收入238.68万元。</w:t>
      </w:r>
      <w:r>
        <w:rPr>
          <w:rFonts w:ascii="仿宋_GB2312" w:hAnsi="仿宋_GB2312" w:eastAsia="仿宋_GB2312"/>
          <w:b/>
          <w:sz w:val="32"/>
        </w:rPr>
        <w:t>财政拨款支出总计238.68万元，</w:t>
      </w:r>
      <w:r>
        <w:rPr>
          <w:rFonts w:ascii="仿宋_GB2312" w:hAnsi="仿宋_GB2312" w:eastAsia="仿宋_GB2312"/>
          <w:b w:val="0"/>
          <w:sz w:val="32"/>
        </w:rPr>
        <w:t>其中：年末财政拨款结转和结余0.00万元，本年财政拨款支出238.68万元。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减少21.18万元，下降8.15%，主要原因是：本年在职人员减少，相关人员经费较上年减少。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年初预算数257.37万元，决算数238.68万元，预决算差异率-7.26%，主要原因是：本年在职人员减少，年中调减人员经费，导致预决算存在差异。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2024年度一般公共预算财政拨款支出238.68万元，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减少21.18万元，下降8.15%，主要原因是：本年在职人员减少，相关人员经费较上年减少。</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年初预算数257.37万元，决算数238.68万元，预决算差异率-7.26%，主要原因是：本年在职人员减少，年中调减人员经费，导致预决算存在差异。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1.一般公共服务支出(类)167.04万元</w:t>
      </w:r>
      <w:r>
        <w:rPr>
          <w:rFonts w:hint="eastAsia" w:ascii="仿宋_GB2312" w:hAnsi="仿宋_GB2312" w:eastAsia="仿宋_GB2312"/>
          <w:b w:val="0"/>
          <w:sz w:val="32"/>
          <w:lang w:eastAsia="zh-CN"/>
        </w:rPr>
        <w:t>，</w:t>
      </w:r>
      <w:r>
        <w:rPr>
          <w:rFonts w:ascii="仿宋_GB2312" w:hAnsi="仿宋_GB2312" w:eastAsia="仿宋_GB2312"/>
          <w:b w:val="0"/>
          <w:sz w:val="32"/>
        </w:rPr>
        <w:t>占69.98%。</w:t>
      </w:r>
    </w:p>
    <w:p>
      <w:pPr>
        <w:spacing w:line="580" w:lineRule="exact"/>
        <w:ind w:firstLine="640"/>
        <w:jc w:val="both"/>
      </w:pPr>
      <w:r>
        <w:rPr>
          <w:rFonts w:ascii="仿宋_GB2312" w:hAnsi="仿宋_GB2312" w:eastAsia="仿宋_GB2312"/>
          <w:b w:val="0"/>
          <w:sz w:val="32"/>
        </w:rPr>
        <w:t>2.社会保障和就业支出(类)49.88万元</w:t>
      </w:r>
      <w:r>
        <w:rPr>
          <w:rFonts w:hint="eastAsia" w:ascii="仿宋_GB2312" w:hAnsi="仿宋_GB2312" w:eastAsia="仿宋_GB2312"/>
          <w:b w:val="0"/>
          <w:sz w:val="32"/>
          <w:lang w:eastAsia="zh-CN"/>
        </w:rPr>
        <w:t>，</w:t>
      </w:r>
      <w:r>
        <w:rPr>
          <w:rFonts w:ascii="仿宋_GB2312" w:hAnsi="仿宋_GB2312" w:eastAsia="仿宋_GB2312"/>
          <w:b w:val="0"/>
          <w:sz w:val="32"/>
        </w:rPr>
        <w:t>占20.90%。</w:t>
      </w:r>
    </w:p>
    <w:p>
      <w:pPr>
        <w:spacing w:line="580" w:lineRule="exact"/>
        <w:ind w:firstLine="640"/>
        <w:jc w:val="both"/>
      </w:pPr>
      <w:r>
        <w:rPr>
          <w:rFonts w:ascii="仿宋_GB2312" w:hAnsi="仿宋_GB2312" w:eastAsia="仿宋_GB2312"/>
          <w:b w:val="0"/>
          <w:sz w:val="32"/>
        </w:rPr>
        <w:t>3.卫生健康支出(类)6.98万元</w:t>
      </w:r>
      <w:r>
        <w:rPr>
          <w:rFonts w:hint="eastAsia" w:ascii="仿宋_GB2312" w:hAnsi="仿宋_GB2312" w:eastAsia="仿宋_GB2312"/>
          <w:b w:val="0"/>
          <w:sz w:val="32"/>
          <w:lang w:eastAsia="zh-CN"/>
        </w:rPr>
        <w:t>，</w:t>
      </w:r>
      <w:r>
        <w:rPr>
          <w:rFonts w:ascii="仿宋_GB2312" w:hAnsi="仿宋_GB2312" w:eastAsia="仿宋_GB2312"/>
          <w:b w:val="0"/>
          <w:sz w:val="32"/>
        </w:rPr>
        <w:t>占2.92%。</w:t>
      </w:r>
    </w:p>
    <w:p>
      <w:pPr>
        <w:spacing w:line="580" w:lineRule="exact"/>
        <w:ind w:firstLine="640"/>
        <w:jc w:val="both"/>
      </w:pPr>
      <w:r>
        <w:rPr>
          <w:rFonts w:ascii="仿宋_GB2312" w:hAnsi="仿宋_GB2312" w:eastAsia="仿宋_GB2312"/>
          <w:b w:val="0"/>
          <w:sz w:val="32"/>
        </w:rPr>
        <w:t>4.住房保障支出(类)14.78万元</w:t>
      </w:r>
      <w:r>
        <w:rPr>
          <w:rFonts w:hint="eastAsia" w:ascii="仿宋_GB2312" w:hAnsi="仿宋_GB2312" w:eastAsia="仿宋_GB2312"/>
          <w:b w:val="0"/>
          <w:sz w:val="32"/>
          <w:lang w:eastAsia="zh-CN"/>
        </w:rPr>
        <w:t>，</w:t>
      </w:r>
      <w:r>
        <w:rPr>
          <w:rFonts w:ascii="仿宋_GB2312" w:hAnsi="仿宋_GB2312" w:eastAsia="仿宋_GB2312"/>
          <w:b w:val="0"/>
          <w:sz w:val="32"/>
        </w:rPr>
        <w:t>占6.19%。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1.一般公共服务支出(类)政府办公厅（室）及相关机构事务(款)信访事务(项)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支出决算数为0.00万元，比上年决算减少208.39万元，下降100.00%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人员经费、公用经费等上年在一般公共服务支出(类)政府办公厅（室）及相关机构事务(款)信访事务(项)列支，本年分别调整至一般公共服务支出(类)信访事务(款)信访业务(项)、一般公共服务支出(类)信访事务(款)其他信访事务支出(项)科目列支，导致经费较上年减少。</w:t>
      </w:r>
    </w:p>
    <w:p>
      <w:pPr>
        <w:spacing w:line="580" w:lineRule="exact"/>
        <w:ind w:firstLine="640"/>
        <w:jc w:val="both"/>
      </w:pPr>
      <w:r>
        <w:rPr>
          <w:rFonts w:ascii="仿宋_GB2312" w:hAnsi="仿宋_GB2312" w:eastAsia="仿宋_GB2312"/>
          <w:b w:val="0"/>
          <w:sz w:val="32"/>
        </w:rPr>
        <w:t>2.一般公共服务支出(类)党委办公厅（室）及相关机构事务(款)行政运行(项)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支出决算数为0.00万元，比上年决算减少2.39万元，下降100.00%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科目调整，</w:t>
      </w:r>
      <w:r>
        <w:rPr>
          <w:rFonts w:hint="eastAsia" w:ascii="仿宋_GB2312" w:hAnsi="仿宋_GB2312" w:eastAsia="仿宋_GB2312"/>
          <w:b w:val="0"/>
          <w:sz w:val="32"/>
          <w:lang w:val="en-US" w:eastAsia="zh-CN"/>
        </w:rPr>
        <w:t>单位办公</w:t>
      </w:r>
      <w:r>
        <w:rPr>
          <w:rFonts w:ascii="仿宋_GB2312" w:hAnsi="仿宋_GB2312" w:eastAsia="仿宋_GB2312"/>
          <w:b w:val="0"/>
          <w:sz w:val="32"/>
        </w:rPr>
        <w:t>经费调整至一般公共服务支出(类)信访事务(款)信访业务(项)支出，因此经费减少。</w:t>
      </w:r>
    </w:p>
    <w:p>
      <w:pPr>
        <w:spacing w:line="580" w:lineRule="exact"/>
        <w:ind w:firstLine="640"/>
        <w:jc w:val="both"/>
      </w:pPr>
      <w:r>
        <w:rPr>
          <w:rFonts w:ascii="仿宋_GB2312" w:hAnsi="仿宋_GB2312" w:eastAsia="仿宋_GB2312"/>
          <w:b w:val="0"/>
          <w:sz w:val="32"/>
        </w:rPr>
        <w:t>3.一般公共服务支出(类)组织事务(款)其他组织事务支出(项)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支出决算数为1.50万元，比上年决算减少0.48万元，下降24.24%</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主要原因是：本年减少专项项目经费，导致相关经费减少。</w:t>
      </w:r>
    </w:p>
    <w:p>
      <w:pPr>
        <w:spacing w:line="580" w:lineRule="exact"/>
        <w:ind w:firstLine="640"/>
        <w:jc w:val="both"/>
      </w:pPr>
      <w:r>
        <w:rPr>
          <w:rFonts w:ascii="仿宋_GB2312" w:hAnsi="仿宋_GB2312" w:eastAsia="仿宋_GB2312"/>
          <w:b w:val="0"/>
          <w:sz w:val="32"/>
        </w:rPr>
        <w:t>4.一般公共服务支出(类)信访事务(款)行政运行(项)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支出决算数为0.20万元，比上年决算增加0.20万元，增长100.00%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主要原因是：本年增加行政人员取暖费，导致经费较上年增加。</w:t>
      </w:r>
    </w:p>
    <w:p>
      <w:pPr>
        <w:spacing w:line="580" w:lineRule="exact"/>
        <w:ind w:firstLine="640"/>
        <w:jc w:val="both"/>
      </w:pPr>
      <w:r>
        <w:rPr>
          <w:rFonts w:ascii="仿宋_GB2312" w:hAnsi="仿宋_GB2312" w:eastAsia="仿宋_GB2312"/>
          <w:b w:val="0"/>
          <w:sz w:val="32"/>
        </w:rPr>
        <w:t>5.一般公共服务支出(类)信访事务(款)信访业务(项)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支出决算数为145.24万元，比上年决算增加145.24万元，增长100.00%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w:t>
      </w:r>
      <w:r>
        <w:rPr>
          <w:rFonts w:hint="eastAsia" w:ascii="仿宋_GB2312" w:hAnsi="仿宋_GB2312" w:eastAsia="仿宋_GB2312"/>
          <w:b w:val="0"/>
          <w:sz w:val="32"/>
          <w:lang w:val="en-US" w:eastAsia="zh-CN"/>
        </w:rPr>
        <w:t>在职人员</w:t>
      </w:r>
      <w:r>
        <w:rPr>
          <w:rFonts w:ascii="仿宋_GB2312" w:hAnsi="仿宋_GB2312" w:eastAsia="仿宋_GB2312"/>
          <w:b w:val="0"/>
          <w:sz w:val="32"/>
        </w:rPr>
        <w:t>经费上年在一般公共服务支出(类)政府办公厅（室）及相关机构事务(款)信访事务(项)列支，本年调整至一般公共服务支出(类)信访事务(款)信访业务(项)科目列支，导致经费较上年增加。</w:t>
      </w:r>
    </w:p>
    <w:p>
      <w:pPr>
        <w:spacing w:line="580" w:lineRule="exact"/>
        <w:ind w:firstLine="640"/>
        <w:jc w:val="both"/>
      </w:pPr>
      <w:r>
        <w:rPr>
          <w:rFonts w:ascii="仿宋_GB2312" w:hAnsi="仿宋_GB2312" w:eastAsia="仿宋_GB2312"/>
          <w:b w:val="0"/>
          <w:sz w:val="32"/>
        </w:rPr>
        <w:t>6.一般公共服务支出(类)信访事务(款)其他信访事务支出(项)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支出决算数为20.11万元，比上年决算增加20.11万元，增长100.00%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w:t>
      </w:r>
      <w:r>
        <w:rPr>
          <w:rFonts w:hint="eastAsia" w:ascii="仿宋_GB2312" w:hAnsi="仿宋_GB2312" w:eastAsia="仿宋_GB2312"/>
          <w:b w:val="0"/>
          <w:sz w:val="32"/>
          <w:lang w:val="en-US" w:eastAsia="zh-CN"/>
        </w:rPr>
        <w:t>公用</w:t>
      </w:r>
      <w:r>
        <w:rPr>
          <w:rFonts w:ascii="仿宋_GB2312" w:hAnsi="仿宋_GB2312" w:eastAsia="仿宋_GB2312"/>
          <w:b w:val="0"/>
          <w:sz w:val="32"/>
        </w:rPr>
        <w:t>经费上年在一般公共服务支出(类)政府办公厅（室）及相关机构事务(款)信访事务(项)列支，本年调整至一般公共服务支出(类)信访事务(款)其他信访事务支出(项)科目列支，导致经费较上年增加。</w:t>
      </w:r>
    </w:p>
    <w:p>
      <w:pPr>
        <w:spacing w:line="580" w:lineRule="exact"/>
        <w:ind w:firstLine="640"/>
        <w:jc w:val="both"/>
      </w:pPr>
      <w:r>
        <w:rPr>
          <w:rFonts w:ascii="仿宋_GB2312" w:hAnsi="仿宋_GB2312" w:eastAsia="仿宋_GB2312"/>
          <w:b w:val="0"/>
          <w:sz w:val="32"/>
        </w:rPr>
        <w:t>7.社会保障和就业支出(类)行政事业单位养老支出(款)行政单位离退休(项)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支出决算数为7.38万元，比上年决算增加4.17万元，增长129.91%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主要原因是：本年退休人员增加，退休费支出增加。</w:t>
      </w:r>
    </w:p>
    <w:p>
      <w:pPr>
        <w:spacing w:line="580" w:lineRule="exact"/>
        <w:ind w:firstLine="640"/>
        <w:jc w:val="both"/>
      </w:pPr>
      <w:r>
        <w:rPr>
          <w:rFonts w:ascii="仿宋_GB2312" w:hAnsi="仿宋_GB2312" w:eastAsia="仿宋_GB2312"/>
          <w:b w:val="0"/>
          <w:sz w:val="32"/>
        </w:rPr>
        <w:t>8.社会保障和就业支出(类)行政事业单位养老支出(款)机关事业单位基本养老保险缴费支出(项)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支出决算数为18.44万元，比上年决算减少2.06万元，下降10.05%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主要原因是：本年在职人员减少，单位基本养老保险缴费较上年减少。</w:t>
      </w:r>
    </w:p>
    <w:p>
      <w:pPr>
        <w:spacing w:line="580" w:lineRule="exact"/>
        <w:ind w:firstLine="640"/>
        <w:jc w:val="both"/>
      </w:pPr>
      <w:r>
        <w:rPr>
          <w:rFonts w:ascii="仿宋_GB2312" w:hAnsi="仿宋_GB2312" w:eastAsia="仿宋_GB2312"/>
          <w:b w:val="0"/>
          <w:sz w:val="32"/>
        </w:rPr>
        <w:t>9.社会保障和就业支出(类)行政事业单位养老支出(款)机关事业单位职业年金缴费支出(项)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支出决算数为24.06万元，比上年决算增加18.18万元，增长309.18%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主要原因是：本年新增退休人员，职业年金缴费支出增加。</w:t>
      </w:r>
    </w:p>
    <w:p>
      <w:pPr>
        <w:spacing w:line="580" w:lineRule="exact"/>
        <w:ind w:firstLine="640"/>
        <w:jc w:val="both"/>
      </w:pPr>
      <w:r>
        <w:rPr>
          <w:rFonts w:ascii="仿宋_GB2312" w:hAnsi="仿宋_GB2312" w:eastAsia="仿宋_GB2312"/>
          <w:b w:val="0"/>
          <w:sz w:val="32"/>
        </w:rPr>
        <w:t>10.卫生健康支出(类)行政事业单位医疗(款)行政单位医疗(项)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支出决算数为4.82万元，比上年决算增加4.82万元，增长100.00%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主要原因是：本年功能科目调整，行政单位医疗支出上年度在主科目列支，本年单独列支，导致经费较上年增加。</w:t>
      </w:r>
    </w:p>
    <w:p>
      <w:pPr>
        <w:spacing w:line="580" w:lineRule="exact"/>
        <w:ind w:firstLine="640"/>
        <w:jc w:val="both"/>
      </w:pPr>
      <w:r>
        <w:rPr>
          <w:rFonts w:ascii="仿宋_GB2312" w:hAnsi="仿宋_GB2312" w:eastAsia="仿宋_GB2312"/>
          <w:b w:val="0"/>
          <w:sz w:val="32"/>
        </w:rPr>
        <w:t>11.卫生健康支出(类)行政事业单位医疗(款)事业单位医疗(项)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支出决算数为2.16万元，比上年决算增加2.16万元，增长100.00%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主要原因是：本年功能科目调整，事业单位医疗支出上年度在主科目列支，本年单独列支，导致经费较上年增加。</w:t>
      </w:r>
    </w:p>
    <w:p>
      <w:pPr>
        <w:spacing w:line="580" w:lineRule="exact"/>
        <w:ind w:firstLine="640"/>
        <w:jc w:val="both"/>
      </w:pPr>
      <w:r>
        <w:rPr>
          <w:rFonts w:ascii="仿宋_GB2312" w:hAnsi="仿宋_GB2312" w:eastAsia="仿宋_GB2312"/>
          <w:b w:val="0"/>
          <w:sz w:val="32"/>
        </w:rPr>
        <w:t>12.住房保障支出(类)住房改革支出(款)住房公积金(项)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支出决算数为14.78万元，比上年决算减少2.73万元，下降15.59%</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2024年度一般公共预算财政拨款基本支出217.07万元，其中：</w:t>
      </w:r>
      <w:r>
        <w:rPr>
          <w:rFonts w:ascii="仿宋_GB2312" w:hAnsi="仿宋_GB2312" w:eastAsia="仿宋_GB2312"/>
          <w:b/>
          <w:sz w:val="32"/>
        </w:rPr>
        <w:t>人员经费215.32万元，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pPr>
        <w:spacing w:line="580" w:lineRule="exact"/>
        <w:ind w:firstLine="640"/>
        <w:jc w:val="both"/>
      </w:pPr>
      <w:r>
        <w:rPr>
          <w:rFonts w:ascii="仿宋_GB2312" w:hAnsi="仿宋_GB2312" w:eastAsia="仿宋_GB2312"/>
          <w:b/>
          <w:sz w:val="32"/>
        </w:rPr>
        <w:t>公用经费1.75万元，</w:t>
      </w:r>
      <w:r>
        <w:rPr>
          <w:rFonts w:ascii="仿宋_GB2312" w:hAnsi="仿宋_GB2312" w:eastAsia="仿宋_GB2312"/>
          <w:b w:val="0"/>
          <w:sz w:val="32"/>
        </w:rPr>
        <w:t>包括：办公费、印刷费、电费、邮电费、公务用车运行维护费。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2024年度财政拨款“三公”经费支出0.12万元，</w:t>
      </w:r>
      <w:r>
        <w:rPr>
          <w:rFonts w:ascii="仿宋_GB2312" w:hAnsi="仿宋_GB2312" w:eastAsia="仿宋_GB2312"/>
          <w:b w:val="0"/>
          <w:sz w:val="32"/>
        </w:rPr>
        <w:t>比上年减少1.08万元，下降90.00%，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0.12万元，占100.00%，比上年减少1.08万元，下降90.00%，主要原因是：严格落实中央八项规定精神，厉行节约，减少公务用车运行维护费。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0.12万元，其中：公务用车购置费0.00万元，公务用车运行维护费0.12万元。公务用车运行维护费开支内容包括车辆加油费、保险费、过路费、维修费。公务用车购置数0辆，公务用车保有量1辆。国有资产占用情况中固定资产车辆0辆，与公务用车保有量差异原因是：借用其他单位车辆，车辆费用由本单位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0.12万元，决算数0.12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0.12万元，决算数0.12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2024年度阿图什市信访局（行政单位和参照公务员法管理事业单位）机关运行经费支出1.75万元，比上年减少25.75万元，下降93.64%，主要原因是：本年单位部分公用经费均在项目中列支，基本支出中减少公用经费。</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2024年度政府采购支出总额9.40万元，其中：政府采购货物支出6.03万元、政府采购工程支出0.00万元、政府采购服务支出3.36万元。</w:t>
      </w:r>
    </w:p>
    <w:p>
      <w:pPr>
        <w:spacing w:line="580" w:lineRule="exact"/>
        <w:ind w:firstLine="640"/>
        <w:jc w:val="both"/>
      </w:pPr>
      <w:r>
        <w:rPr>
          <w:rFonts w:ascii="仿宋_GB2312" w:hAnsi="仿宋_GB2312" w:eastAsia="仿宋_GB2312"/>
          <w:b w:val="0"/>
          <w:sz w:val="32"/>
        </w:rPr>
        <w:t>授予中小企业合同金额6.10万元，占政府采购支出总额的64.89%，其中：授予小微企业合同金额5.80万元，占政府采购支出总额的61.70%。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238.68万元，实际执行总额238.68万元；预算绩效评价项目2个，全年预算数28.00万元，全年执行数20.10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提升了部门管理水平和资金使用效益，为全面实施绩效管理打下了坚实的基础。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具体附整体支出绩效自评表，项目支出绩效自评表和评价报告。</w:t>
      </w:r>
    </w:p>
    <w:p>
      <w:r>
        <w:br w:type="page"/>
      </w:r>
    </w:p>
    <w:tbl>
      <w:tblPr>
        <w:tblStyle w:val="10"/>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阿图什市信访局</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254.85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238.68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238.68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254.85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237.18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237.18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单位基本职能：贯彻落实党中央、自治区、自治州党委和市委、市政府及上级主管部门关于信访工作的方针、政策和法规，做好阿图什市信访工作。根据自治区、自治州有关信访工作的方针政策和法规，结合阿图什市信访工作实际，研究制定贯彻、宣传、落实的措施、方法，并组织实施。深入各乡镇（街道）、村（社区）调查研究，总结推广好的做法、经验，提出改进和加强信访工作的意见和建议。代表市委、市人民政府受理人民群众给市委、市人民政府及其主要领导人的来信，为来信来访群众提供有关法律、法规和政策咨询服务，向市委、市人民政府反映来信来访提出的重要建议、意见和问题。负责“市长信箱”的日常受理、处理、查办工作。综合分析研判信访形势，开展调查研究，征集群众建议，及时向市委、市人民政府提供信访信息。承办上级领导机关、市委、市人民政府领导交办的信访事项，督促检查领导批示件落实情况；向有关单位交办信访事项；督促、检查和反馈重要信访事项的处理和落实情况。协调处理跨部门信访事项</w:t>
            </w:r>
            <w:r>
              <w:rPr>
                <w:rFonts w:hint="eastAsia" w:ascii="宋体" w:hAnsi="宋体"/>
                <w:sz w:val="16"/>
                <w:lang w:val="en-US" w:eastAsia="zh-CN"/>
              </w:rPr>
              <w:t>,</w:t>
            </w:r>
            <w:bookmarkStart w:id="0" w:name="_GoBack"/>
            <w:bookmarkEnd w:id="0"/>
            <w:r>
              <w:rPr>
                <w:rFonts w:ascii="宋体" w:hAnsi="宋体" w:eastAsia="宋体"/>
                <w:sz w:val="16"/>
              </w:rPr>
              <w:t xml:space="preserve">检查、协调做好阿图什市党政军各部门的信访工作。了解掌握信访工作队伍建设情况，做好信访干部的培训，落实信访信息化建设。 </w:t>
            </w:r>
            <w:r>
              <w:rPr>
                <w:rFonts w:ascii="宋体" w:hAnsi="宋体" w:eastAsia="宋体"/>
                <w:sz w:val="16"/>
              </w:rPr>
              <w:br w:type="textWrapping"/>
            </w:r>
            <w:r>
              <w:rPr>
                <w:rFonts w:ascii="宋体" w:hAnsi="宋体" w:eastAsia="宋体"/>
                <w:sz w:val="16"/>
              </w:rPr>
              <w:t xml:space="preserve">单位编制情况：下设3个处室，编制数11，实有人数16人，其中：在职12人、退休4人。 </w:t>
            </w:r>
            <w:r>
              <w:rPr>
                <w:rFonts w:ascii="宋体" w:hAnsi="宋体" w:eastAsia="宋体"/>
                <w:sz w:val="16"/>
              </w:rPr>
              <w:br w:type="textWrapping"/>
            </w:r>
            <w:r>
              <w:rPr>
                <w:rFonts w:ascii="宋体" w:hAnsi="宋体" w:eastAsia="宋体"/>
                <w:sz w:val="16"/>
              </w:rPr>
              <w:t>中长期规划：紧紧围绕市委、市政府中心任务和重点工作，以领导满意、基层满意、群众满意为目标，以“抓铁有痕、踏石留印”的劲头、振奋精神、攻坚克难为阿图什市政府各项工作顺利开展提供有力的保障。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单位共计支出238.68万元，用于保障部门在职12人、退休4人的工资福利、各项补助正常发放及部门单位正常运转，单位预算项目根据年初计划均已完成，紧紧围绕市委、市政府中心任务和重点工作，以领导满意、基层满意、群众满意为目标，以“抓铁有痕、踏石留印”的劲头、振奋精神、攻坚克难为阿图什市政府各项工作顺利开展提供有力的保障，年度任务中完成保障单位日常运转期限12个月，打造乡镇（街道）“一站式”服务平台10个等目标。</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信访及时受理率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2023年工作总结及2024年度工作计划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信访按期办结率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2023年工作总结及2024年度工作计划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保障单位日常运转期限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2023年工作总结及2024年度工作计划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打造乡镇（街道）“一站式”服务平台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向群众提供有关法律、法规和政策咨询服务覆盖率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r>
    </w:tbl>
    <w:p>
      <w:r>
        <w:br w:type="page"/>
      </w:r>
    </w:p>
    <w:tbl>
      <w:tblPr>
        <w:tblStyle w:val="10"/>
        <w:tblW w:w="9060" w:type="dxa"/>
        <w:tblInd w:w="0" w:type="dxa"/>
        <w:tblLayout w:type="fixed"/>
        <w:tblCellMar>
          <w:top w:w="0" w:type="dxa"/>
          <w:left w:w="108" w:type="dxa"/>
          <w:bottom w:w="0" w:type="dxa"/>
          <w:right w:w="108" w:type="dxa"/>
        </w:tblCellMar>
      </w:tblPr>
      <w:tblGrid>
        <w:gridCol w:w="631"/>
        <w:gridCol w:w="630"/>
        <w:gridCol w:w="631"/>
        <w:gridCol w:w="631"/>
        <w:gridCol w:w="632"/>
        <w:gridCol w:w="631"/>
        <w:gridCol w:w="631"/>
        <w:gridCol w:w="631"/>
        <w:gridCol w:w="631"/>
        <w:gridCol w:w="632"/>
        <w:gridCol w:w="856"/>
        <w:gridCol w:w="632"/>
        <w:gridCol w:w="629"/>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信访业务工作经费项目</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信访业务工作经费项目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8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阿图什市信访局</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11.02</w:t>
            </w:r>
          </w:p>
        </w:tc>
        <w:tc>
          <w:tcPr>
            <w:tcW w:w="14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0.30分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11.02</w:t>
            </w:r>
          </w:p>
        </w:tc>
        <w:tc>
          <w:tcPr>
            <w:tcW w:w="14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01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关于进一步加强驻京信访工作组管理保障工作的通知》（新信联发〔2016〕12号）文件精神，2024年需增加信访业务工作经费18万元（驻京信访服务保障经费18万元），主要用于计划信访业务出差人数20人，信访业务出差次数6次，采购办公用品及设备等，进一步加大创建力度，对照“八个要素”，优化体制机制建设、问题化解质效、资源力量保障等方面的措施，高标准高质量开展创建工作。</w:t>
            </w:r>
          </w:p>
        </w:tc>
        <w:tc>
          <w:tcPr>
            <w:tcW w:w="401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11.0166万元，用于信访业务出差人数6人，信访业务出差次数4次；通过实施本项目进一步加大创建力度，对照“八个要素”，优化体制机制建设、问题化解质效、资源力量保障等方面的措施，高标准高质量开展创建工作。</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信访业务出差人数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&gt;=20人</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原因：根据实际情况开展信访业务工作，因此指标存在偏差；措施：下一年度做好计划及项目管理，减少实施过程中的偏差。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信访业务出差次数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1.17</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原因：根据实际情况开展信访业务工作，因此指标存在偏差；措施：下一年度做好计划及项目管理，减少实施过程中的偏差。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采购办公用品及设备批次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=61.2%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0.21</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原因：项目资金未支付完毕，产生的效果有待提升。措施：及时申请并支付项目资金，基本达到预期效果。</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项目计划完成率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信访业务出差费用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=11.0166万元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4.67</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采购办公用品及设备成本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保障工作正常运行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受益人员满意度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1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19"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42.35分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10"/>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阿图什市信访联合接访中心运转项目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阿图什市信访局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阿图什市信访局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9.08</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联合接访中心运转项目预算10万元，主要用于1.办公用品及耗材、纸类3万元（政府采购）；2.参加信访工作会议、学习培训、信访保障工作经费等费用1万元；4.“无访村（社区）”工作经费1万元； 5.计算机、摄像机、照相机、复印机采购和维修费2万元（政府采购）；6.信访群众服务保障饮水费0.5万元；7.印刷《信访工作条例》及信访法治化工作指南、导引图</w:t>
            </w:r>
            <w:r>
              <w:rPr>
                <w:rFonts w:hint="eastAsia" w:ascii="宋体" w:hAnsi="宋体"/>
                <w:sz w:val="16"/>
                <w:lang w:eastAsia="zh-CN"/>
              </w:rPr>
              <w:t>及其他工作</w:t>
            </w:r>
            <w:r>
              <w:rPr>
                <w:rFonts w:ascii="宋体" w:hAnsi="宋体" w:eastAsia="宋体"/>
                <w:sz w:val="16"/>
              </w:rPr>
              <w:t>制度等费用1万元；8.信访群众服务期刊费0.5万元；9.办公室场所、卫生场所用品及维修费0.5万元；10.</w:t>
            </w:r>
            <w:r>
              <w:rPr>
                <w:rFonts w:hint="eastAsia" w:ascii="宋体" w:hAnsi="宋体"/>
                <w:sz w:val="16"/>
                <w:lang w:eastAsia="zh-CN"/>
              </w:rPr>
              <w:t>节前</w:t>
            </w:r>
            <w:r>
              <w:rPr>
                <w:rFonts w:ascii="宋体" w:hAnsi="宋体" w:eastAsia="宋体"/>
                <w:sz w:val="16"/>
              </w:rPr>
              <w:t>慰问基层信访工作人员慰问费0.5万元；通过项目实施，确保我市信访工作顺利开展，有效解决我市信访问题。</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项目共计支出9.08万元，用于采购办公用品及耗材及纸类批次2批，参加信访工作会议及学习培训次数2次，办公设备耗材批次4批，印刷《信访工作条例》册数10000册；通过实施本项目确保我市信访工作顺利开展，有效解决我市信访问题。</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采购办公用品及耗材及纸类批次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参加信访工作会议及学习培训次数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原因：项目年初预算指标不够精准，导致指标存在偏差；措施：下一年度做好计划及项目管理，减少实施过程中的偏差；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办公设备耗材批次</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印刷《信访工作条例》册数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日常业务工作开展率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办公用品及耗材、纸类成本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参加信访工作会议及学习培训费用</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原因：根据实际产生的费用进行支出，因此指标完成情况存在偏差；措施：下一年度做好项目管理，提高工作执行进度，减少偏差。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印刷宣传品成本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采购办公设备及业务费用成本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保障各项工作正常开展</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信访人员满意度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r>
              <w:rPr>
                <w:rFonts w:hint="eastAsia" w:ascii="宋体" w:hAnsi="宋体"/>
                <w:sz w:val="16"/>
                <w:lang w:eastAsia="zh-CN"/>
              </w:rPr>
              <w:t>，</w:t>
            </w:r>
            <w:r>
              <w:rPr>
                <w:rFonts w:ascii="宋体" w:hAnsi="宋体" w:eastAsia="宋体"/>
                <w:sz w:val="16"/>
              </w:rPr>
              <w:t>说明材料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645154"/>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C602DD"/>
    <w:rsid w:val="38006E2C"/>
    <w:rsid w:val="3914510A"/>
    <w:rsid w:val="3B1220C9"/>
    <w:rsid w:val="3D5275AC"/>
    <w:rsid w:val="3E3F28F7"/>
    <w:rsid w:val="3EA7725F"/>
    <w:rsid w:val="3EC014A1"/>
    <w:rsid w:val="400A6D04"/>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6696</Words>
  <Characters>7519</Characters>
  <Lines>0</Lines>
  <Paragraphs>0</Paragraphs>
  <TotalTime>9</TotalTime>
  <ScaleCrop>false</ScaleCrop>
  <LinksUpToDate>false</LinksUpToDate>
  <CharactersWithSpaces>7529</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2025-09-18T10:09:18Z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