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阿图什市信访联合接访中心运转项目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项目名称：阿图什市信访联合接访中心运转项目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项目单位：阿图什市信访局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主管部门：阿图什市信访局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阿图什市信访联合接访中心运转项目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(一)项目背景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根据《“十四五”时期新疆维吾尔自治区信访工作发展规划》工作要求，及阿图什市信访工作需要，结合阿图什市信访联合接访中心工作职责，按照年度工作计划，开展阿图什市信访联合接访中心运转项目。立项依据</w:t>
      </w:r>
      <w:r>
        <w:rPr>
          <w:rFonts w:hint="eastAsia" w:ascii="仿宋_GB2312" w:hAnsi="仿宋" w:cs="宋体"/>
          <w:color w:val="auto"/>
          <w:sz w:val="32"/>
          <w:szCs w:val="32"/>
          <w:highlight w:val="none"/>
          <w:lang w:eastAsia="zh-CN"/>
        </w:rPr>
        <w:t>为</w:t>
      </w:r>
      <w:r>
        <w:rPr>
          <w:rFonts w:hint="eastAsia" w:ascii="仿宋_GB2312" w:hAnsi="仿宋" w:cs="宋体"/>
          <w:color w:val="auto"/>
          <w:sz w:val="32"/>
          <w:szCs w:val="32"/>
          <w:highlight w:val="none"/>
        </w:rPr>
        <w:t>《关于印发&lt;“十四五”时期新疆维吾尔自治区信访工作发展规划&gt;重点任务责任分工的通知》(新信联发[2022]4号)《信访工作条例》第十六条:各级党委和政府应当为信访工作提供必要的支持和保障，所需经费列入本级预算。第十八条:市、县级党委和政府应当建立和完善联合接访工作机制，根据工作需要组织有关机关、单位联合接待一站式解决信访问题。</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联合接访中心运转项目预算10万元，主要用于1.办公用品及耗材、纸类3万元（政府采购）；2.参加信访工作会议、学习培训、信访保障工作经费等费用1万元；4.“无访村（社区）”工作经费1万元； 5.计算机、摄像机、照相机、复印机采购和维修费2万元（政府采购）；6.信访群众服务保障饮水费0.5万元；7.印刷《信访工作条例》及信访法治化工作指南、导引图及其它工作制度等费用1万元；8.信访群众服务期刊费0.5万元；9.办公室场所、卫生场所用品及维修费0.5万元；10.节气慰问基层信访工作人员慰问费0.5万元；通过项目实施，确保我市信访工作顺利开展，有效解决我市信访问题。</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政务服务和公共资源交易中心,实施单位为阿图什市政务服务和公共资源交易中心，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9.08万元，用于采购办公用品及耗材及纸类批次2批，参加信访工作会议及学习培训次数2次，办公设备耗材批次4批，印刷《信访工作条例》册数10000册；通过实施本项目确保我市信访工作顺利开展，有效解决我市信访问题。</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10万元</w:t>
      </w:r>
      <w:r>
        <w:rPr>
          <w:rStyle w:val="11"/>
          <w:rFonts w:hint="eastAsia" w:ascii="仿宋_GB2312" w:hAnsi="仿宋_GB2312" w:cs="仿宋_GB2312"/>
          <w:b w:val="0"/>
          <w:bCs w:val="0"/>
          <w:color w:val="auto"/>
          <w:spacing w:val="-4"/>
          <w:sz w:val="32"/>
          <w:szCs w:val="30"/>
          <w:highlight w:val="none"/>
        </w:rPr>
        <w:t>，资金来源为本级部门预算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9.08万元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90.80%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办公用品及耗材、纸类成本3万元；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参加信访工作会议及学习培训费用0.08万元；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印刷宣传品成本1万元；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采购办公设备及业务费用成本5万元。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联合接访中心运转项目预算10万元，主要用于1.办公用品及耗材、纸类3万元（政府采购）；2.参加信访工作会议、学习培训、信访保障工作经费等费用1万元；4.“无访村（社区）”工作经费1万元； 5.计算机、摄像机、照相机、复印机采购和维修费2万元（政府采购）；6.信访群众服务保障饮水费0.5万元；7.印刷《信访工作条例》及信访法治化工作指南、导引图及其它工作制度等费用1万元；8.信访群众服务期刊费0.5万元；9.办公室场所、卫生场所用品及维修费0.5万元；10.节气慰问基层信访工作人员慰问费0.5万元；通过项目实施，确保我市信访工作顺利开展，有效解决我市信访问题。</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阶段性目标为：联合接访中心运转项目预算10万元，主要用于1.办公用品及耗材、纸类3万元（政府采购）；2.参加信访工作会议、学习培训、信访保障工作经费等费用1万元；4.“无访村（社区）”工作经费1万元； 5.计算机、摄像机、照相机、复印机采购和维修费2万元（政府采购）；6.信访群众服务保障饮水费0.5万元；7.印刷《信访工作条例》及信访法治化工作指南、导引图及其它工作制度等费用1万元；8.信访群众服务期刊费0.5万元；9.办公室场所、卫生场所用品及维修费0.5万元；10.节气慰问基层信访工作人员慰问费0.5万元；通过项目实施，确保我市信访工作顺利开展，有效解决我市信访问题。</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从预算编制合理性、资金使用合规性、项目管理规范性、实施情况、总体绩效目标、各项绩效指标完成情况以及预算执行情况进行科学性评价。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度交易中心场所维护及招投标设备采购运行维护费项目的深入调研基础上，按照《项目支出绩效评价管理办法》（财预〔2021〕10号）对于指标体系的要求和规范，建立一套适合评价2024年度交易中心场所维护及招投标设备采购运行维护费项目的指标体系，从项目决策、项目过程、项目产出和项目绩效四个维度全面考察2024年度交易中心场所维护及招投标设备采购运行维护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2024年度交易中心场所维护及招投标设备采购运行维护费项目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吐逊江买买提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李宁</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热依汗古丽</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度交易中心场所维护及招投标设备采购运行维护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组织管理、产出与效益效果。在此基础上，以相关的项目数据为基础，综合运用不同的评价方法，结合评价标准和评分规则，2024年度交易中心场所维护及招投标设备采购运行维护费项目综合得分为95.79分，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2024年度交易中心场所维护及招投标设备采购运行维护费项目评价得分情况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16.54</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项目预算执行率90.80%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26.25</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未完成指标数量2个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95.79</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9.08万元，用于采购办公用品及耗材及纸类批次2批，参加信访工作会议及学习培训次数2次，办公设备耗材批次4批，印刷《信访工作条例》册数10000册；通过实施本项目确保我市信访工作顺利开展，有效解决我市信访问题。</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2024年度交易中心场所维护及招投标设备采购运行维护费项目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9.08万元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95.79</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度交易中心场所维护及招投标设备采购运行维护费项目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组织形式，明确了该项目经费的开支范围为办公用品及耗材、纸类政府采购；参加信访工作会议、学习培训、信访保障工作经费等费用；“无访村（社区）”工作经费</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计算机、摄像机、照相机、复印机采购和维修费；信访群众服务保障饮水费；印刷《信访工作条例》及信访法治化工作指南、导引图及其它工作制度等费用；信访群众服务期刊费；办公室场所、卫生场所用品及维修费；节气慰问基层信访工作人员慰问费，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（4）严格按照政府采购制度规范实施政府采购。对于需要实施政府采购的活动，严格实施、履行采购手续，根据2024年度交易中心场所维护及招投标设备采购运行维护费项目</w:t>
      </w:r>
      <w:r>
        <w:rPr>
          <w:rFonts w:hint="eastAsia" w:ascii="仿宋_GB2312" w:hAnsi="仿宋_GB2312" w:cs="仿宋_GB2312"/>
          <w:color w:val="auto"/>
          <w:sz w:val="32"/>
          <w:szCs w:val="32"/>
          <w:highlight w:val="none"/>
          <w:lang w:val="en-US" w:eastAsia="zh-CN"/>
        </w:rPr>
        <w:t>的采购</w:t>
      </w:r>
      <w:r>
        <w:rPr>
          <w:rFonts w:hint="eastAsia" w:ascii="仿宋_GB2312" w:hAnsi="仿宋_GB2312" w:cs="仿宋_GB2312"/>
          <w:color w:val="auto"/>
          <w:sz w:val="32"/>
          <w:szCs w:val="32"/>
          <w:highlight w:val="none"/>
        </w:rPr>
        <w:t>需求，选择合规可行的采购形式，将采购政策、采购程序、采购过程规范化、透明化，提升</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专项资金的使用效果。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数量指标为采购办公用品及耗材及纸类批次，预期指标值为大于等于2批，实际完成值为2批，指标达到预期目标。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数量指标为参加信访工作会议及学习培训次数，预期指标值为大于等于6次，实际完成值为2次，指标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达到预期目标。原因：项目年初预算指标不够精准，导致指标存在偏差；措施：下一年度做好计划及项目管理，减少实施过程中的偏差；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数量指标为办公设备耗材批次，预期指标值为大于等于4批，实际完成值为4批，指标达到预期目标。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数量指标为印刷《信访工作条例》册数，预期指标值为大于等于10000册，实际完成值为10000册，指标达到预期目标。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质量指标为日常业务工作开展率，预期指标值为等于100%，实际完成值为100%，指标达到预期目标。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时效指标为项目完成时间，预期指标值为2024年12月，实际完成值为2024年12月，指标达到预期目标。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经济成本指标为办公用品及耗材、纸类成本，预期指标值为</w:t>
      </w:r>
      <w:r>
        <w:rPr>
          <w:rFonts w:hint="eastAsia" w:ascii="仿宋_GB2312"/>
          <w:color w:val="auto"/>
          <w:sz w:val="32"/>
          <w:szCs w:val="32"/>
          <w:highlight w:val="none"/>
          <w:lang w:eastAsia="zh-CN"/>
        </w:rPr>
        <w:t>小于等于</w:t>
      </w:r>
      <w:r>
        <w:rPr>
          <w:rFonts w:hint="eastAsia" w:ascii="仿宋_GB2312"/>
          <w:color w:val="auto"/>
          <w:sz w:val="32"/>
          <w:szCs w:val="32"/>
          <w:highlight w:val="none"/>
        </w:rPr>
        <w:t>3万元，实际完成值为3万元，指标达到预期目标。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经济成本指标为参加信访工作会议及学习培训费用，预期指标值为</w:t>
      </w:r>
      <w:r>
        <w:rPr>
          <w:rFonts w:hint="eastAsia" w:ascii="仿宋_GB2312"/>
          <w:color w:val="auto"/>
          <w:sz w:val="32"/>
          <w:szCs w:val="32"/>
          <w:highlight w:val="none"/>
          <w:lang w:eastAsia="zh-CN"/>
        </w:rPr>
        <w:t>小于等于</w:t>
      </w:r>
      <w:r>
        <w:rPr>
          <w:rFonts w:hint="eastAsia" w:ascii="仿宋_GB2312"/>
          <w:color w:val="auto"/>
          <w:sz w:val="32"/>
          <w:szCs w:val="32"/>
          <w:highlight w:val="none"/>
        </w:rPr>
        <w:t>1万元，实际完成值为0.08万元，指标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经济成本指标为印刷宣传品成本，预期指标值为</w:t>
      </w:r>
      <w:r>
        <w:rPr>
          <w:rFonts w:hint="eastAsia" w:ascii="仿宋_GB2312"/>
          <w:color w:val="auto"/>
          <w:sz w:val="32"/>
          <w:szCs w:val="32"/>
          <w:highlight w:val="none"/>
          <w:lang w:eastAsia="zh-CN"/>
        </w:rPr>
        <w:t>小于等于</w:t>
      </w:r>
      <w:r>
        <w:rPr>
          <w:rFonts w:hint="eastAsia" w:ascii="仿宋_GB2312"/>
          <w:color w:val="auto"/>
          <w:sz w:val="32"/>
          <w:szCs w:val="32"/>
          <w:highlight w:val="none"/>
        </w:rPr>
        <w:t>1万元，实际完成值为1万元，指标达到预期目标。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经济成本指标为采购办公设备及业务费用成本，预期指标值为</w:t>
      </w:r>
      <w:r>
        <w:rPr>
          <w:rFonts w:hint="eastAsia" w:ascii="仿宋_GB2312"/>
          <w:color w:val="auto"/>
          <w:sz w:val="32"/>
          <w:szCs w:val="32"/>
          <w:highlight w:val="none"/>
          <w:lang w:eastAsia="zh-CN"/>
        </w:rPr>
        <w:t>小于等于</w:t>
      </w:r>
      <w:r>
        <w:rPr>
          <w:rFonts w:hint="eastAsia" w:ascii="仿宋_GB2312"/>
          <w:color w:val="auto"/>
          <w:sz w:val="32"/>
          <w:szCs w:val="32"/>
          <w:highlight w:val="none"/>
        </w:rPr>
        <w:t>5万元，实际完成值为5万元，指标达到预期目标。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社会效益指标为保障各项工作正常开展，预期指标值为有效保障，实际完成值为有效保障，指标达到预期目标。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满意度指标为信访人员满意度，预期指标值为小于等于95%，经问卷调查，实际完成值为95%，指标达到预期目标。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本项目全年预算数</w:t>
      </w:r>
      <w:r>
        <w:rPr>
          <w:rFonts w:hint="eastAsia"/>
          <w:color w:val="auto"/>
          <w:sz w:val="32"/>
          <w:highlight w:val="none"/>
          <w:lang w:eastAsia="zh-CN"/>
        </w:rPr>
        <w:t>10万元</w:t>
      </w:r>
      <w:r>
        <w:rPr>
          <w:rFonts w:hint="eastAsia"/>
          <w:color w:val="auto"/>
          <w:sz w:val="32"/>
          <w:highlight w:val="none"/>
        </w:rPr>
        <w:t>，执行数</w:t>
      </w:r>
      <w:r>
        <w:rPr>
          <w:rFonts w:hint="eastAsia"/>
          <w:color w:val="auto"/>
          <w:sz w:val="32"/>
          <w:highlight w:val="none"/>
          <w:lang w:eastAsia="zh-CN"/>
        </w:rPr>
        <w:t>9.08万元</w:t>
      </w:r>
      <w:r>
        <w:rPr>
          <w:rFonts w:hint="eastAsia"/>
          <w:color w:val="auto"/>
          <w:sz w:val="32"/>
          <w:highlight w:val="none"/>
        </w:rPr>
        <w:t>，执行率</w:t>
      </w:r>
      <w:r>
        <w:rPr>
          <w:rFonts w:hint="eastAsia"/>
          <w:color w:val="auto"/>
          <w:sz w:val="32"/>
          <w:highlight w:val="none"/>
          <w:lang w:eastAsia="zh-CN"/>
        </w:rPr>
        <w:t>90.80%</w:t>
      </w:r>
      <w:r>
        <w:rPr>
          <w:rFonts w:hint="eastAsia"/>
          <w:color w:val="auto"/>
          <w:sz w:val="32"/>
          <w:highlight w:val="none"/>
        </w:rPr>
        <w:t>，绩效指标完成率</w:t>
      </w:r>
      <w:r>
        <w:rPr>
          <w:rFonts w:hint="eastAsia"/>
          <w:color w:val="auto"/>
          <w:sz w:val="32"/>
          <w:highlight w:val="none"/>
          <w:lang w:val="en-US" w:eastAsia="zh-CN"/>
        </w:rPr>
        <w:t>86.78%</w:t>
      </w:r>
      <w:r>
        <w:rPr>
          <w:rFonts w:hint="eastAsia"/>
          <w:color w:val="auto"/>
          <w:sz w:val="32"/>
          <w:highlight w:val="none"/>
        </w:rPr>
        <w:t>，偏差率</w:t>
      </w:r>
      <w:r>
        <w:rPr>
          <w:rFonts w:hint="eastAsia"/>
          <w:color w:val="auto"/>
          <w:sz w:val="32"/>
          <w:highlight w:val="none"/>
          <w:lang w:val="en-US" w:eastAsia="zh-CN"/>
        </w:rPr>
        <w:t>4.02</w:t>
      </w:r>
      <w:r>
        <w:rPr>
          <w:rFonts w:hint="eastAsia"/>
          <w:color w:val="auto"/>
          <w:sz w:val="32"/>
          <w:highlight w:val="none"/>
        </w:rPr>
        <w:t>%。偏差原因：</w:t>
      </w:r>
      <w:r>
        <w:rPr>
          <w:rFonts w:hint="eastAsia"/>
          <w:color w:val="auto"/>
          <w:sz w:val="32"/>
          <w:highlight w:val="none"/>
          <w:lang w:val="en-US" w:eastAsia="zh-CN"/>
        </w:rPr>
        <w:t>根据实际产生的费用进行支出，因此指标完成情况存在偏差；项目年初预算指标不够精准，导致指标存在偏差。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lang w:val="en-US" w:eastAsia="zh-CN"/>
        </w:rPr>
        <w:t>数量指标“参加信访工作会议及学习培训次数”指标未达到预期目标的原因为：项目年初预算指标不够精准，导致指标存在偏差；下一步措施是下一年度将做好计划及项目管理，减少实施过程中的偏差；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lang w:val="en-US" w:eastAsia="zh-CN"/>
        </w:rPr>
        <w:t>经济成本指标“参加信访工作会议及学习培训费用”指标未达到预期目标的原因为：根据实际产生的费用进行支出，因此指标完成情况存在偏差；下一步措施是下一年度做好项目管理，提高工作执行进度，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4"/>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4.54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95.79</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D8A6"/>
    <w:multiLevelType w:val="multilevel"/>
    <w:tmpl w:val="68CBD8A6"/>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D8B1"/>
    <w:multiLevelType w:val="singleLevel"/>
    <w:tmpl w:val="68CBD8B1"/>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CFE7474"/>
    <w:rsid w:val="6161500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2"/>
    <w:uiPriority w:val="0"/>
    <w:rPr>
      <w:rFonts w:eastAsia="仿宋_GB2312"/>
      <w:b/>
      <w:bCs/>
      <w:kern w:val="44"/>
      <w:sz w:val="44"/>
      <w:szCs w:val="44"/>
    </w:rPr>
  </w:style>
  <w:style w:type="character" w:customStyle="1" w:styleId="18">
    <w:name w:val="标题 2 Char"/>
    <w:basedOn w:val="10"/>
    <w:link w:val="3"/>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2"/>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B5A7CD4EE4B9474481BE226278B253C5_13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aef53e-f937-4e42-9dce-96560439b9c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9855</Words>
  <Characters>10165</Characters>
  <Lines>56</Lines>
  <Paragraphs>15</Paragraphs>
  <TotalTime>18</TotalTime>
  <ScaleCrop>false</ScaleCrop>
  <LinksUpToDate>false</LinksUpToDate>
  <CharactersWithSpaces>10176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2025-09-18T10:05:20Z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B5A7CD4EE4B9474481BE226278B253C5_13</vt:lpwstr>
  </property>
  <property fmtid="{D5CDD505-2E9C-101B-9397-08002B2CF9AE}" pid="4" name="KSOTemplateDocerSaveRecord">
    <vt:lpwstr>eyJoZGlkIjoiYzZkNzQ4ZWFiZmQ4NTRhOWRkZTk3YTMwMjlmMmZhYmUiLCJ1c2VySWQiOiI1NzgxMjU4NDIifQ_x003D__x003D_</vt:lpwstr>
  </property>
</Properties>
</file>