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531BD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阿图什市信访局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548F67">
      <w:r>
        <w:br w:type="page"/>
      </w:r>
    </w:p>
    <w:p w14:paraId="3EC1443B">
      <w:pPr>
        <w:spacing w:line="640" w:lineRule="exact"/>
        <w:jc w:val="center"/>
        <w:outlineLvl w:val="1"/>
      </w:pPr>
      <w:r>
        <w:rPr>
          <w:rFonts w:ascii="黑体" w:hAnsi="黑体" w:eastAsia="黑体"/>
          <w:sz w:val="32"/>
        </w:rPr>
        <w:t>第一部分 单位概况</w:t>
      </w:r>
    </w:p>
    <w:p w14:paraId="3B273087">
      <w:pPr>
        <w:spacing w:line="640" w:lineRule="exact"/>
        <w:ind w:firstLine="640"/>
        <w:jc w:val="both"/>
        <w:outlineLvl w:val="2"/>
      </w:pPr>
      <w:r>
        <w:rPr>
          <w:rFonts w:ascii="黑体" w:hAnsi="黑体" w:eastAsia="黑体"/>
          <w:sz w:val="32"/>
        </w:rPr>
        <w:t>一、主要职能</w:t>
      </w:r>
    </w:p>
    <w:p w14:paraId="00EB8BBC">
      <w:pPr>
        <w:spacing w:line="580" w:lineRule="exact"/>
        <w:ind w:firstLine="640"/>
        <w:jc w:val="both"/>
      </w:pPr>
      <w:r>
        <w:rPr>
          <w:rFonts w:ascii="仿宋_GB2312" w:hAnsi="仿宋_GB2312" w:eastAsia="仿宋_GB2312"/>
          <w:sz w:val="32"/>
        </w:rPr>
        <w:t>（1）贯彻落实党中央、自治区、自治州党委和市委、市政府及上级主管部门关于信访工作的方针、政策和法规，做好阿图什市信访工作。</w:t>
      </w:r>
    </w:p>
    <w:p w14:paraId="55DD84F3">
      <w:pPr>
        <w:spacing w:line="580" w:lineRule="exact"/>
        <w:ind w:firstLine="640"/>
        <w:jc w:val="both"/>
      </w:pPr>
      <w:r>
        <w:rPr>
          <w:rFonts w:ascii="仿宋_GB2312" w:hAnsi="仿宋_GB2312" w:eastAsia="仿宋_GB2312"/>
          <w:sz w:val="32"/>
        </w:rPr>
        <w:t>（2）根据自治区、自治州有关信访工作的方针政策和法规，结合阿图什市信访工作实际，研究制定贯彻、宣传、落实的措施、方法，并组织实施。深入各乡镇（街道）、村（社区）调查研究，总结推广好的做法、经验，提出改进和加强信访工作的意见和建议。代表市委、市人民政府受理人民群众给市委、市人民政府及其主要领导人的来信，为来信来访群众提供有关法律、法规和政策咨询服务，向市委、市人民政府反映来信来访提出的重要建议、意见和问题。</w:t>
      </w:r>
    </w:p>
    <w:p w14:paraId="3B2BF433">
      <w:pPr>
        <w:spacing w:line="580" w:lineRule="exact"/>
        <w:ind w:firstLine="640"/>
        <w:jc w:val="both"/>
      </w:pPr>
      <w:r>
        <w:rPr>
          <w:rFonts w:ascii="仿宋_GB2312" w:hAnsi="仿宋_GB2312" w:eastAsia="仿宋_GB2312"/>
          <w:sz w:val="32"/>
        </w:rPr>
        <w:t>（3）负责“市长信箱”的日常受理、处理、查办工作。综合分析研判信访形势，开展调查研究，征集群众建议，及时向市委、市人民政府提供信访信息。承办上级领导机关、市委、市人民政府领导交办的信访事项，督促检查领导批示件落实情况；向有关单位交办信访事项；督促、检查和反馈重要信访事项的处理和落实情况。</w:t>
      </w:r>
    </w:p>
    <w:p w14:paraId="55443123">
      <w:pPr>
        <w:spacing w:line="580" w:lineRule="exact"/>
        <w:ind w:firstLine="640"/>
        <w:jc w:val="both"/>
      </w:pPr>
      <w:r>
        <w:rPr>
          <w:rFonts w:ascii="仿宋_GB2312" w:hAnsi="仿宋_GB2312" w:eastAsia="仿宋_GB2312"/>
          <w:sz w:val="32"/>
        </w:rPr>
        <w:t>（4）协调处理跨部门信访事项、群众集体上访和突发上访事件；检查、协调做好阿图什市党政军各部门的信访工作。了解掌握信访工作队伍建设情况，做好信访干部的培训，落实信访信息化建设。</w:t>
      </w:r>
    </w:p>
    <w:p w14:paraId="16DDB16F">
      <w:pPr>
        <w:spacing w:line="640" w:lineRule="exact"/>
        <w:ind w:firstLine="640"/>
        <w:jc w:val="both"/>
        <w:outlineLvl w:val="2"/>
      </w:pPr>
      <w:r>
        <w:rPr>
          <w:rFonts w:ascii="黑体" w:hAnsi="黑体" w:eastAsia="黑体"/>
          <w:sz w:val="32"/>
        </w:rPr>
        <w:t>二、机构设置及人员情况</w:t>
      </w:r>
    </w:p>
    <w:p w14:paraId="394C4CCA">
      <w:pPr>
        <w:spacing w:line="580" w:lineRule="exact"/>
        <w:ind w:firstLine="640"/>
        <w:jc w:val="both"/>
      </w:pPr>
      <w:r>
        <w:rPr>
          <w:rFonts w:ascii="仿宋_GB2312" w:hAnsi="仿宋_GB2312" w:eastAsia="仿宋_GB2312"/>
          <w:sz w:val="32"/>
        </w:rPr>
        <w:t>阿图什市信访局2024年度，实有人数16人，其中：在职人员10人，减少2人；离休人员0人，增加0人；退休人员6人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增加2人。</w:t>
      </w:r>
    </w:p>
    <w:p w14:paraId="223736CB">
      <w:pPr>
        <w:spacing w:line="580" w:lineRule="exact"/>
        <w:ind w:firstLine="640"/>
        <w:jc w:val="both"/>
      </w:pPr>
      <w:r>
        <w:rPr>
          <w:rFonts w:ascii="仿宋_GB2312" w:hAnsi="仿宋_GB2312" w:eastAsia="仿宋_GB2312"/>
          <w:sz w:val="32"/>
        </w:rPr>
        <w:t>阿图什市信访局无下属预算单位，下设3个科室，分别是：督查科、综合科、来访接待中心科。</w:t>
      </w:r>
    </w:p>
    <w:p w14:paraId="4EA61148">
      <w:r>
        <w:br w:type="page"/>
      </w:r>
    </w:p>
    <w:p w14:paraId="71869B85">
      <w:pPr>
        <w:spacing w:line="240" w:lineRule="auto"/>
        <w:jc w:val="center"/>
        <w:outlineLvl w:val="1"/>
      </w:pPr>
      <w:r>
        <w:rPr>
          <w:rFonts w:ascii="黑体" w:hAnsi="黑体" w:eastAsia="黑体"/>
          <w:sz w:val="32"/>
        </w:rPr>
        <w:t>第二部分 部门决算情况说明</w:t>
      </w:r>
    </w:p>
    <w:p w14:paraId="7B4A94CB">
      <w:pPr>
        <w:spacing w:line="640" w:lineRule="exact"/>
        <w:ind w:firstLine="640"/>
        <w:jc w:val="both"/>
        <w:outlineLvl w:val="2"/>
      </w:pPr>
      <w:r>
        <w:rPr>
          <w:rFonts w:ascii="黑体" w:hAnsi="黑体" w:eastAsia="黑体"/>
          <w:sz w:val="32"/>
        </w:rPr>
        <w:t>一、收入支出决算总体情况说明</w:t>
      </w:r>
    </w:p>
    <w:p w14:paraId="17FE4F4D">
      <w:pPr>
        <w:spacing w:line="580" w:lineRule="exact"/>
        <w:ind w:firstLine="640"/>
        <w:jc w:val="both"/>
      </w:pPr>
      <w:r>
        <w:rPr>
          <w:rFonts w:ascii="仿宋_GB2312" w:hAnsi="仿宋_GB2312" w:eastAsia="仿宋_GB2312"/>
          <w:b/>
          <w:sz w:val="32"/>
        </w:rPr>
        <w:t>2024年度收入总计238.68万元，</w:t>
      </w:r>
      <w:r>
        <w:rPr>
          <w:rFonts w:ascii="仿宋_GB2312" w:hAnsi="仿宋_GB2312" w:eastAsia="仿宋_GB2312"/>
          <w:b w:val="0"/>
          <w:sz w:val="32"/>
        </w:rPr>
        <w:t>其中：本年收入合计238.68万元，使用非财政拨款结余（含专用结余）0.00万元，年初结转和结余0.00万元。</w:t>
      </w:r>
    </w:p>
    <w:p w14:paraId="45285197">
      <w:pPr>
        <w:spacing w:line="580" w:lineRule="exact"/>
        <w:ind w:firstLine="640"/>
        <w:jc w:val="both"/>
      </w:pPr>
      <w:r>
        <w:rPr>
          <w:rFonts w:ascii="仿宋_GB2312" w:hAnsi="仿宋_GB2312" w:eastAsia="仿宋_GB2312"/>
          <w:b/>
          <w:sz w:val="32"/>
        </w:rPr>
        <w:t>2024年度支出总计238.68万元，</w:t>
      </w:r>
      <w:r>
        <w:rPr>
          <w:rFonts w:ascii="仿宋_GB2312" w:hAnsi="仿宋_GB2312" w:eastAsia="仿宋_GB2312"/>
          <w:b w:val="0"/>
          <w:sz w:val="32"/>
        </w:rPr>
        <w:t>其中：本年支出合计238.68万元，结余分配0.00万元，年末结转和结余0.00万元。</w:t>
      </w:r>
    </w:p>
    <w:p w14:paraId="33C47C9E">
      <w:pPr>
        <w:spacing w:line="580" w:lineRule="exact"/>
        <w:ind w:firstLine="640"/>
        <w:jc w:val="both"/>
      </w:pPr>
      <w:r>
        <w:rPr>
          <w:rFonts w:ascii="仿宋_GB2312" w:hAnsi="仿宋_GB2312" w:eastAsia="仿宋_GB2312"/>
          <w:b w:val="0"/>
          <w:sz w:val="32"/>
        </w:rPr>
        <w:t>收入支出总体与上年相比，减少21.18万元，下降8.15%，主要原因是：本年在职人员减少，相关人员经费较上年减少。</w:t>
      </w:r>
    </w:p>
    <w:p w14:paraId="2E3E39C1">
      <w:pPr>
        <w:spacing w:line="640" w:lineRule="exact"/>
        <w:ind w:firstLine="640"/>
        <w:jc w:val="both"/>
        <w:outlineLvl w:val="2"/>
      </w:pPr>
      <w:r>
        <w:rPr>
          <w:rFonts w:ascii="黑体" w:hAnsi="黑体" w:eastAsia="黑体"/>
          <w:sz w:val="32"/>
        </w:rPr>
        <w:t>二、收入决算情况说明</w:t>
      </w:r>
    </w:p>
    <w:p w14:paraId="7AE0E677">
      <w:pPr>
        <w:spacing w:line="580" w:lineRule="exact"/>
        <w:ind w:firstLine="640"/>
        <w:jc w:val="both"/>
      </w:pPr>
      <w:r>
        <w:rPr>
          <w:rFonts w:ascii="仿宋_GB2312" w:hAnsi="仿宋_GB2312" w:eastAsia="仿宋_GB2312"/>
          <w:b/>
          <w:sz w:val="32"/>
        </w:rPr>
        <w:t>本年收入238.68万元，</w:t>
      </w:r>
      <w:r>
        <w:rPr>
          <w:rFonts w:ascii="仿宋_GB2312" w:hAnsi="仿宋_GB2312" w:eastAsia="仿宋_GB2312"/>
          <w:b w:val="0"/>
          <w:sz w:val="32"/>
        </w:rPr>
        <w:t>其中：财政拨款收入238.68万元，占100.00%；上级补助收入0.00万元，占0.00%；事业收入0.00万元，占0.00%；经营收入0.00万元，占0.00%；附属单位上缴收入0.00万元，占0.00%；其他收入0.00万元，占0.00%。</w:t>
      </w:r>
    </w:p>
    <w:p w14:paraId="00981421">
      <w:pPr>
        <w:spacing w:line="640" w:lineRule="exact"/>
        <w:ind w:firstLine="640"/>
        <w:jc w:val="both"/>
        <w:outlineLvl w:val="2"/>
      </w:pPr>
      <w:r>
        <w:rPr>
          <w:rFonts w:ascii="黑体" w:hAnsi="黑体" w:eastAsia="黑体"/>
          <w:sz w:val="32"/>
        </w:rPr>
        <w:t>三、支出决算情况说明</w:t>
      </w:r>
    </w:p>
    <w:p w14:paraId="2D278BF3">
      <w:pPr>
        <w:spacing w:line="580" w:lineRule="exact"/>
        <w:ind w:firstLine="640"/>
        <w:jc w:val="both"/>
      </w:pPr>
      <w:r>
        <w:rPr>
          <w:rFonts w:ascii="仿宋_GB2312" w:hAnsi="仿宋_GB2312" w:eastAsia="仿宋_GB2312"/>
          <w:b/>
          <w:sz w:val="32"/>
        </w:rPr>
        <w:t>本年支出238.68万元，</w:t>
      </w:r>
      <w:r>
        <w:rPr>
          <w:rFonts w:ascii="仿宋_GB2312" w:hAnsi="仿宋_GB2312" w:eastAsia="仿宋_GB2312"/>
          <w:b w:val="0"/>
          <w:sz w:val="32"/>
        </w:rPr>
        <w:t>其中：基本支出217.07万元，占90.95%；项目支出21.61万元，占9.05%；上缴上级支出0.00万元，占0.00%；经营支出0.00万元，占0.00%；对附属单位补助支出0.00万元，占0.00%。</w:t>
      </w:r>
    </w:p>
    <w:p w14:paraId="77C94BC7">
      <w:pPr>
        <w:spacing w:line="640" w:lineRule="exact"/>
        <w:ind w:firstLine="640"/>
        <w:jc w:val="both"/>
        <w:outlineLvl w:val="2"/>
      </w:pPr>
      <w:r>
        <w:rPr>
          <w:rFonts w:ascii="黑体" w:hAnsi="黑体" w:eastAsia="黑体"/>
          <w:sz w:val="32"/>
        </w:rPr>
        <w:t>四、财政拨款收入支出决算总体情况说明</w:t>
      </w:r>
    </w:p>
    <w:p w14:paraId="4D755B54">
      <w:pPr>
        <w:spacing w:line="580" w:lineRule="exact"/>
        <w:ind w:firstLine="640"/>
        <w:jc w:val="both"/>
      </w:pPr>
      <w:r>
        <w:rPr>
          <w:rFonts w:ascii="仿宋_GB2312" w:hAnsi="仿宋_GB2312" w:eastAsia="仿宋_GB2312"/>
          <w:b/>
          <w:sz w:val="32"/>
        </w:rPr>
        <w:t>2024年度财政拨款收入总计238.68万元，</w:t>
      </w:r>
      <w:r>
        <w:rPr>
          <w:rFonts w:ascii="仿宋_GB2312" w:hAnsi="仿宋_GB2312" w:eastAsia="仿宋_GB2312"/>
          <w:b w:val="0"/>
          <w:sz w:val="32"/>
        </w:rPr>
        <w:t>其中：年初财政拨款结转和结余0.00万元，本年财政拨款收入238.68万元。</w:t>
      </w:r>
      <w:r>
        <w:rPr>
          <w:rFonts w:ascii="仿宋_GB2312" w:hAnsi="仿宋_GB2312" w:eastAsia="仿宋_GB2312"/>
          <w:b/>
          <w:sz w:val="32"/>
        </w:rPr>
        <w:t>财政拨款支出总计238.68万元，</w:t>
      </w:r>
      <w:r>
        <w:rPr>
          <w:rFonts w:ascii="仿宋_GB2312" w:hAnsi="仿宋_GB2312" w:eastAsia="仿宋_GB2312"/>
          <w:b w:val="0"/>
          <w:sz w:val="32"/>
        </w:rPr>
        <w:t>其中：年末财政拨款结转和结余0.00万元，本年财政拨款支出238.68万元。</w:t>
      </w:r>
    </w:p>
    <w:p w14:paraId="1A4879C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减少21.18万元，下降8.15%，主要原因是：本年在职人员减少，相关人员经费较上年减少。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年初预算数257.37万元，决算数238.68万元，预决算差异率-7.26%，主要原因是：本年在职人员减少，年中调减人员经费，导致预决算存在差异。</w:t>
      </w:r>
    </w:p>
    <w:p w14:paraId="15363E3D">
      <w:pPr>
        <w:spacing w:line="640" w:lineRule="exact"/>
        <w:ind w:firstLine="640"/>
        <w:jc w:val="both"/>
        <w:outlineLvl w:val="2"/>
      </w:pPr>
      <w:r>
        <w:rPr>
          <w:rFonts w:ascii="黑体" w:hAnsi="黑体" w:eastAsia="黑体"/>
          <w:sz w:val="32"/>
        </w:rPr>
        <w:t>五、一般公共预算财政拨款支出决算情况说明</w:t>
      </w:r>
    </w:p>
    <w:p w14:paraId="5474EB89">
      <w:pPr>
        <w:spacing w:line="640" w:lineRule="exact"/>
        <w:ind w:firstLine="640"/>
        <w:jc w:val="both"/>
        <w:outlineLvl w:val="3"/>
      </w:pPr>
      <w:r>
        <w:rPr>
          <w:rFonts w:ascii="楷体_GB2312" w:hAnsi="楷体_GB2312" w:eastAsia="楷体_GB2312"/>
          <w:b/>
          <w:sz w:val="32"/>
        </w:rPr>
        <w:t>（一）一般公共预算财政拨款支出决算总体情况</w:t>
      </w:r>
    </w:p>
    <w:p w14:paraId="08271F7B">
      <w:pPr>
        <w:spacing w:line="580" w:lineRule="exact"/>
        <w:ind w:firstLine="640"/>
        <w:jc w:val="both"/>
      </w:pPr>
      <w:r>
        <w:rPr>
          <w:rFonts w:ascii="仿宋_GB2312" w:hAnsi="仿宋_GB2312" w:eastAsia="仿宋_GB2312"/>
          <w:b/>
          <w:sz w:val="32"/>
        </w:rPr>
        <w:t>2024年度一般公共预算财政拨款支出238.68万元，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减少21.18万元，下降8.15%，主要原因是：本年在职人员减少，相关人员经费较上年减少。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年初预算数257.37万元，决算数238.68万元，预决算差异率-7.26%，主要原因是：本年在职人员减少，年中调减人员经费，导致预决算存在差异。</w:t>
      </w:r>
    </w:p>
    <w:p w14:paraId="3A199E2F">
      <w:pPr>
        <w:spacing w:line="640" w:lineRule="exact"/>
        <w:ind w:firstLine="640"/>
        <w:jc w:val="both"/>
        <w:outlineLvl w:val="3"/>
      </w:pPr>
      <w:r>
        <w:rPr>
          <w:rFonts w:ascii="楷体_GB2312" w:hAnsi="楷体_GB2312" w:eastAsia="楷体_GB2312"/>
          <w:b/>
          <w:sz w:val="32"/>
        </w:rPr>
        <w:t>（二）一般公共预算财政拨款支出决算结构情况</w:t>
      </w:r>
    </w:p>
    <w:p w14:paraId="1C4CA7AA">
      <w:pPr>
        <w:spacing w:line="580" w:lineRule="exact"/>
        <w:ind w:firstLine="640"/>
        <w:jc w:val="both"/>
      </w:pPr>
      <w:r>
        <w:rPr>
          <w:rFonts w:ascii="仿宋_GB2312" w:hAnsi="仿宋_GB2312" w:eastAsia="仿宋_GB2312"/>
          <w:b w:val="0"/>
          <w:sz w:val="32"/>
        </w:rPr>
        <w:t>1.一般公共服务支出(类)167.04万元</w:t>
      </w:r>
      <w:r>
        <w:rPr>
          <w:rFonts w:hint="eastAsia" w:ascii="仿宋_GB2312" w:hAnsi="仿宋_GB2312" w:eastAsia="仿宋_GB2312"/>
          <w:b w:val="0"/>
          <w:sz w:val="32"/>
          <w:lang w:eastAsia="zh-CN"/>
        </w:rPr>
        <w:t>，</w:t>
      </w:r>
      <w:r>
        <w:rPr>
          <w:rFonts w:ascii="仿宋_GB2312" w:hAnsi="仿宋_GB2312" w:eastAsia="仿宋_GB2312"/>
          <w:b w:val="0"/>
          <w:sz w:val="32"/>
        </w:rPr>
        <w:t>占69.98%。</w:t>
      </w:r>
    </w:p>
    <w:p w14:paraId="2B0D0855">
      <w:pPr>
        <w:spacing w:line="580" w:lineRule="exact"/>
        <w:ind w:firstLine="640"/>
        <w:jc w:val="both"/>
      </w:pPr>
      <w:r>
        <w:rPr>
          <w:rFonts w:ascii="仿宋_GB2312" w:hAnsi="仿宋_GB2312" w:eastAsia="仿宋_GB2312"/>
          <w:b w:val="0"/>
          <w:sz w:val="32"/>
        </w:rPr>
        <w:t>2.社会保障和就业支出(类)49.88万元</w:t>
      </w:r>
      <w:r>
        <w:rPr>
          <w:rFonts w:hint="eastAsia" w:ascii="仿宋_GB2312" w:hAnsi="仿宋_GB2312" w:eastAsia="仿宋_GB2312"/>
          <w:b w:val="0"/>
          <w:sz w:val="32"/>
          <w:lang w:eastAsia="zh-CN"/>
        </w:rPr>
        <w:t>，</w:t>
      </w:r>
      <w:r>
        <w:rPr>
          <w:rFonts w:ascii="仿宋_GB2312" w:hAnsi="仿宋_GB2312" w:eastAsia="仿宋_GB2312"/>
          <w:b w:val="0"/>
          <w:sz w:val="32"/>
        </w:rPr>
        <w:t>占20.90%。</w:t>
      </w:r>
    </w:p>
    <w:p w14:paraId="1C0C0F13">
      <w:pPr>
        <w:spacing w:line="580" w:lineRule="exact"/>
        <w:ind w:firstLine="640"/>
        <w:jc w:val="both"/>
      </w:pPr>
      <w:r>
        <w:rPr>
          <w:rFonts w:ascii="仿宋_GB2312" w:hAnsi="仿宋_GB2312" w:eastAsia="仿宋_GB2312"/>
          <w:b w:val="0"/>
          <w:sz w:val="32"/>
        </w:rPr>
        <w:t>3.卫生健康支出(类)6.98万元</w:t>
      </w:r>
      <w:r>
        <w:rPr>
          <w:rFonts w:hint="eastAsia" w:ascii="仿宋_GB2312" w:hAnsi="仿宋_GB2312" w:eastAsia="仿宋_GB2312"/>
          <w:b w:val="0"/>
          <w:sz w:val="32"/>
          <w:lang w:eastAsia="zh-CN"/>
        </w:rPr>
        <w:t>，</w:t>
      </w:r>
      <w:r>
        <w:rPr>
          <w:rFonts w:ascii="仿宋_GB2312" w:hAnsi="仿宋_GB2312" w:eastAsia="仿宋_GB2312"/>
          <w:b w:val="0"/>
          <w:sz w:val="32"/>
        </w:rPr>
        <w:t>占2.92%。</w:t>
      </w:r>
    </w:p>
    <w:p w14:paraId="09A96738">
      <w:pPr>
        <w:spacing w:line="580" w:lineRule="exact"/>
        <w:ind w:firstLine="640"/>
        <w:jc w:val="both"/>
      </w:pPr>
      <w:r>
        <w:rPr>
          <w:rFonts w:ascii="仿宋_GB2312" w:hAnsi="仿宋_GB2312" w:eastAsia="仿宋_GB2312"/>
          <w:b w:val="0"/>
          <w:sz w:val="32"/>
        </w:rPr>
        <w:t>4.住房保障支出(类)14.78万元</w:t>
      </w:r>
      <w:r>
        <w:rPr>
          <w:rFonts w:hint="eastAsia" w:ascii="仿宋_GB2312" w:hAnsi="仿宋_GB2312" w:eastAsia="仿宋_GB2312"/>
          <w:b w:val="0"/>
          <w:sz w:val="32"/>
          <w:lang w:eastAsia="zh-CN"/>
        </w:rPr>
        <w:t>，</w:t>
      </w:r>
      <w:r>
        <w:rPr>
          <w:rFonts w:ascii="仿宋_GB2312" w:hAnsi="仿宋_GB2312" w:eastAsia="仿宋_GB2312"/>
          <w:b w:val="0"/>
          <w:sz w:val="32"/>
        </w:rPr>
        <w:t>占6.19%。</w:t>
      </w:r>
    </w:p>
    <w:p w14:paraId="0A6EA589">
      <w:pPr>
        <w:spacing w:line="640" w:lineRule="exact"/>
        <w:ind w:firstLine="640"/>
        <w:jc w:val="both"/>
        <w:outlineLvl w:val="3"/>
      </w:pPr>
      <w:r>
        <w:rPr>
          <w:rFonts w:ascii="楷体_GB2312" w:hAnsi="楷体_GB2312" w:eastAsia="楷体_GB2312"/>
          <w:b/>
          <w:sz w:val="32"/>
        </w:rPr>
        <w:t>（三）一般公共预算财政拨款支出决算具体情况</w:t>
      </w:r>
    </w:p>
    <w:p w14:paraId="0CF6818E">
      <w:pPr>
        <w:spacing w:line="580" w:lineRule="exact"/>
        <w:ind w:firstLine="640"/>
        <w:jc w:val="both"/>
      </w:pPr>
      <w:r>
        <w:rPr>
          <w:rFonts w:ascii="仿宋_GB2312" w:hAnsi="仿宋_GB2312" w:eastAsia="仿宋_GB2312"/>
          <w:b w:val="0"/>
          <w:sz w:val="32"/>
        </w:rPr>
        <w:t>1.一般公共服务支出(类)政府办公厅（室）及相关机构事务(款)信访事务(项)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支出决算数为0.00万元，比上年决算减少208.39万元，下降100.00%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人员经费、公用经费等上年在一般公共服务支出(类)政府办公厅（室）及相关机构事务(款)信访事务(项)列支，本年分别调整至一般公共服务支出(类)信访事务(款)信访业务(项)、一般公共服务支出(类)信访事务(款)其他信访事务支出(项)科目列支，导致经费较上年减少。</w:t>
      </w:r>
    </w:p>
    <w:p w14:paraId="1F4100B3">
      <w:pPr>
        <w:spacing w:line="580" w:lineRule="exact"/>
        <w:ind w:firstLine="640"/>
        <w:jc w:val="both"/>
      </w:pPr>
      <w:r>
        <w:rPr>
          <w:rFonts w:ascii="仿宋_GB2312" w:hAnsi="仿宋_GB2312" w:eastAsia="仿宋_GB2312"/>
          <w:b w:val="0"/>
          <w:sz w:val="32"/>
        </w:rPr>
        <w:t>2.一般公共服务支出(类)党委办公厅（室）及相关机构事务(款)行政运行(项)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支出决算数为0.00万元，比上年决算减少2.39万元，下降100.00%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w:t>
      </w:r>
      <w:r>
        <w:rPr>
          <w:rFonts w:hint="eastAsia" w:ascii="仿宋_GB2312" w:hAnsi="仿宋_GB2312" w:eastAsia="仿宋_GB2312"/>
          <w:b w:val="0"/>
          <w:sz w:val="32"/>
          <w:lang w:val="en-US" w:eastAsia="zh-CN"/>
        </w:rPr>
        <w:t>单位办公</w:t>
      </w:r>
      <w:r>
        <w:rPr>
          <w:rFonts w:ascii="仿宋_GB2312" w:hAnsi="仿宋_GB2312" w:eastAsia="仿宋_GB2312"/>
          <w:b w:val="0"/>
          <w:sz w:val="32"/>
        </w:rPr>
        <w:t>经费调整至一般公共服务支出(类)信访事务(款)信访业务(项)支出，因此经费减少。</w:t>
      </w:r>
    </w:p>
    <w:p w14:paraId="2EB4FFAE">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支出决算数为1.50万元，比上年决算减少0.48万元，下降24.24%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主要原因是：本年减少专项项目经费，导致相关经费减少。</w:t>
      </w:r>
    </w:p>
    <w:p w14:paraId="199F419A">
      <w:pPr>
        <w:spacing w:line="580" w:lineRule="exact"/>
        <w:ind w:firstLine="640"/>
        <w:jc w:val="both"/>
      </w:pPr>
      <w:r>
        <w:rPr>
          <w:rFonts w:ascii="仿宋_GB2312" w:hAnsi="仿宋_GB2312" w:eastAsia="仿宋_GB2312"/>
          <w:b w:val="0"/>
          <w:sz w:val="32"/>
        </w:rPr>
        <w:t>4.一般公共服务支出(类)信访事务(款)行政运行(项)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支出决算数为0.20万元，比上年决算增加0.20万元，增长100.00%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主要原因是：本年增加行政人员取暖费，导致经费较上年增加。</w:t>
      </w:r>
    </w:p>
    <w:p w14:paraId="560AD220">
      <w:pPr>
        <w:spacing w:line="580" w:lineRule="exact"/>
        <w:ind w:firstLine="640"/>
        <w:jc w:val="both"/>
      </w:pPr>
      <w:r>
        <w:rPr>
          <w:rFonts w:ascii="仿宋_GB2312" w:hAnsi="仿宋_GB2312" w:eastAsia="仿宋_GB2312"/>
          <w:b w:val="0"/>
          <w:sz w:val="32"/>
        </w:rPr>
        <w:t>5.一般公共服务支出(类)信访事务(款)信访业务(项)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支出决算数为145.24万元，比上年决算增加145.24万元，增长100.00%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在职人员</w:t>
      </w:r>
      <w:r>
        <w:rPr>
          <w:rFonts w:ascii="仿宋_GB2312" w:hAnsi="仿宋_GB2312" w:eastAsia="仿宋_GB2312"/>
          <w:b w:val="0"/>
          <w:sz w:val="32"/>
        </w:rPr>
        <w:t>经费上年在一般公共服务支出(类)政府办公厅（室）及相关机构事务(款)信访事务(项)列支，本年调整至一般公共服务支出(类)信访事务(款)信访业务(项)科目列支，导致经费较上年增加。</w:t>
      </w:r>
    </w:p>
    <w:p w14:paraId="0167A7B1">
      <w:pPr>
        <w:spacing w:line="580" w:lineRule="exact"/>
        <w:ind w:firstLine="640"/>
        <w:jc w:val="both"/>
      </w:pPr>
      <w:r>
        <w:rPr>
          <w:rFonts w:ascii="仿宋_GB2312" w:hAnsi="仿宋_GB2312" w:eastAsia="仿宋_GB2312"/>
          <w:b w:val="0"/>
          <w:sz w:val="32"/>
        </w:rPr>
        <w:t>6.一般公共服务支出(类)信访事务(款)其他信访事务支出(项)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支出决算数为20.11万元，比上年决算增加20.11万元，增长100.00%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公用</w:t>
      </w:r>
      <w:r>
        <w:rPr>
          <w:rFonts w:ascii="仿宋_GB2312" w:hAnsi="仿宋_GB2312" w:eastAsia="仿宋_GB2312"/>
          <w:b w:val="0"/>
          <w:sz w:val="32"/>
        </w:rPr>
        <w:t>经费上年在一般公共服务支出(类)政府办公厅（室）及相关机构事务(款)信访事务(项)列支，本年调整至一般公共服务支出(类)信访事务(款)其他信访事务支出(项)科目列支，导致经费较上年增加。</w:t>
      </w:r>
    </w:p>
    <w:p w14:paraId="76C9ACCB">
      <w:pPr>
        <w:spacing w:line="580" w:lineRule="exact"/>
        <w:ind w:firstLine="640"/>
        <w:jc w:val="both"/>
      </w:pPr>
      <w:r>
        <w:rPr>
          <w:rFonts w:ascii="仿宋_GB2312" w:hAnsi="仿宋_GB2312" w:eastAsia="仿宋_GB2312"/>
          <w:b w:val="0"/>
          <w:sz w:val="32"/>
        </w:rPr>
        <w:t>7.社会保障和就业支出(类)行政事业单位养老支出(款)行政单位离退休(项)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支出决算数为7.38万元，比上年决算增加4.17万元，增长129.91%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736E0A49">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支出决算数为18.44万元，比上年决算减少2.06万元，下降10.05%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14:paraId="79CCE78C">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支出决算数为24.06万元，比上年决算增加18.18万元，增长309.18%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06645A4E">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支出决算数为4.82万元，比上年决算增加4.82万元，增长100.00%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主要原因是：本年功能科目调整，行政单位医疗支出上年度在主科目列支，本年单独列支，导致经费较上年增加。</w:t>
      </w:r>
    </w:p>
    <w:p w14:paraId="194A0543">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支出决算数为2.16万元，比上年决算增加2.16万元，增长100.00%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主要原因是：本年功能科目调整，事业单位医疗支出上年度在主科目列支，本年单独列支，导致经费较上年增加。</w:t>
      </w:r>
    </w:p>
    <w:p w14:paraId="50DC6ADB">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支出决算数为14.78万元，比上年决算减少2.73万元，下降15.59%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14:paraId="32BD7E32">
      <w:pPr>
        <w:spacing w:line="640" w:lineRule="exact"/>
        <w:ind w:firstLine="640"/>
        <w:jc w:val="both"/>
        <w:outlineLvl w:val="2"/>
      </w:pPr>
      <w:r>
        <w:rPr>
          <w:rFonts w:ascii="黑体" w:hAnsi="黑体" w:eastAsia="黑体"/>
          <w:sz w:val="32"/>
        </w:rPr>
        <w:t>六、一般公共预算财政拨款基本支出决算情况说明</w:t>
      </w:r>
    </w:p>
    <w:p w14:paraId="40D1B2FF">
      <w:pPr>
        <w:spacing w:line="580" w:lineRule="exact"/>
        <w:ind w:firstLine="640"/>
        <w:jc w:val="both"/>
      </w:pPr>
      <w:r>
        <w:rPr>
          <w:rFonts w:ascii="仿宋_GB2312" w:hAnsi="仿宋_GB2312" w:eastAsia="仿宋_GB2312"/>
          <w:b w:val="0"/>
          <w:sz w:val="32"/>
        </w:rPr>
        <w:t>2024年度一般公共预算财政拨款基本支出217.07万元，其中：</w:t>
      </w:r>
      <w:r>
        <w:rPr>
          <w:rFonts w:ascii="仿宋_GB2312" w:hAnsi="仿宋_GB2312" w:eastAsia="仿宋_GB2312"/>
          <w:b/>
          <w:sz w:val="32"/>
        </w:rPr>
        <w:t>人员经费215.32万元，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6936BDD8">
      <w:pPr>
        <w:spacing w:line="580" w:lineRule="exact"/>
        <w:ind w:firstLine="640"/>
        <w:jc w:val="both"/>
      </w:pPr>
      <w:r>
        <w:rPr>
          <w:rFonts w:ascii="仿宋_GB2312" w:hAnsi="仿宋_GB2312" w:eastAsia="仿宋_GB2312"/>
          <w:b/>
          <w:sz w:val="32"/>
        </w:rPr>
        <w:t>公用经费1.75万元，</w:t>
      </w:r>
      <w:r>
        <w:rPr>
          <w:rFonts w:ascii="仿宋_GB2312" w:hAnsi="仿宋_GB2312" w:eastAsia="仿宋_GB2312"/>
          <w:b w:val="0"/>
          <w:sz w:val="32"/>
        </w:rPr>
        <w:t>包括：办公费、印刷费、电费、邮电费、公务用车运行维护费。</w:t>
      </w:r>
    </w:p>
    <w:p w14:paraId="3E0D698B">
      <w:pPr>
        <w:spacing w:line="640" w:lineRule="exact"/>
        <w:ind w:firstLine="640"/>
        <w:jc w:val="both"/>
        <w:outlineLvl w:val="2"/>
      </w:pPr>
      <w:r>
        <w:rPr>
          <w:rFonts w:ascii="黑体" w:hAnsi="黑体" w:eastAsia="黑体"/>
          <w:sz w:val="32"/>
        </w:rPr>
        <w:t>七、政府性基金预算财政拨款收入支出决算情况说明</w:t>
      </w:r>
    </w:p>
    <w:p w14:paraId="35A8D38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01FBFC">
      <w:pPr>
        <w:spacing w:line="640" w:lineRule="exact"/>
        <w:ind w:firstLine="640"/>
        <w:jc w:val="both"/>
        <w:outlineLvl w:val="2"/>
      </w:pPr>
      <w:r>
        <w:rPr>
          <w:rFonts w:ascii="黑体" w:hAnsi="黑体" w:eastAsia="黑体"/>
          <w:sz w:val="32"/>
        </w:rPr>
        <w:t>八、国有资本经营预算财政拨款收入支出决算情况说明</w:t>
      </w:r>
    </w:p>
    <w:p w14:paraId="590BA15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EC81CA">
      <w:pPr>
        <w:spacing w:line="640" w:lineRule="exact"/>
        <w:ind w:firstLine="640"/>
        <w:jc w:val="both"/>
        <w:outlineLvl w:val="2"/>
      </w:pPr>
      <w:r>
        <w:rPr>
          <w:rFonts w:ascii="黑体" w:hAnsi="黑体" w:eastAsia="黑体"/>
          <w:sz w:val="32"/>
        </w:rPr>
        <w:t>九、财政拨款“三公”经费支出决算情况说明</w:t>
      </w:r>
    </w:p>
    <w:p w14:paraId="5DDD5AB5">
      <w:pPr>
        <w:spacing w:line="580" w:lineRule="exact"/>
        <w:ind w:firstLine="640"/>
        <w:jc w:val="both"/>
      </w:pPr>
      <w:r>
        <w:rPr>
          <w:rFonts w:ascii="仿宋_GB2312" w:hAnsi="仿宋_GB2312" w:eastAsia="仿宋_GB2312"/>
          <w:b/>
          <w:sz w:val="32"/>
        </w:rPr>
        <w:t>2024年度财政拨款“三公”经费支出0.12万元，</w:t>
      </w:r>
      <w:r>
        <w:rPr>
          <w:rFonts w:ascii="仿宋_GB2312" w:hAnsi="仿宋_GB2312" w:eastAsia="仿宋_GB2312"/>
          <w:b w:val="0"/>
          <w:sz w:val="32"/>
        </w:rPr>
        <w:t>比上年减少1.08万元，下降90.00%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0.12万元，占100.00%，比上年减少1.08万元，下降90.00%，主要原因是：严格落实中央八项规定精神，厉行节约，减少公务用车运行维护费。公务接待费支出0.00万元，占0.00%，比上年增加0.00万元，增长0.00%，主要原因是：2023年与2024年均未安排公务接待费支出。</w:t>
      </w:r>
    </w:p>
    <w:p w14:paraId="37E8ED06">
      <w:pPr>
        <w:spacing w:line="580" w:lineRule="exact"/>
        <w:ind w:firstLine="640"/>
        <w:jc w:val="both"/>
      </w:pPr>
      <w:r>
        <w:rPr>
          <w:rFonts w:ascii="仿宋_GB2312" w:hAnsi="仿宋_GB2312" w:eastAsia="仿宋_GB2312"/>
          <w:b/>
          <w:sz w:val="32"/>
        </w:rPr>
        <w:t>具体情况如下：</w:t>
      </w:r>
    </w:p>
    <w:p w14:paraId="7316B1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CCABC15">
      <w:pPr>
        <w:spacing w:line="580" w:lineRule="exact"/>
        <w:ind w:firstLine="640"/>
        <w:jc w:val="both"/>
      </w:pPr>
      <w:r>
        <w:rPr>
          <w:rFonts w:ascii="仿宋_GB2312" w:hAnsi="仿宋_GB2312" w:eastAsia="仿宋_GB2312"/>
          <w:b w:val="0"/>
          <w:sz w:val="32"/>
        </w:rPr>
        <w:t>公务用车购置及运行维护费0.12万元，其中：公务用车购置费0.00万元，公务用车运行维护费0.12万元。公务用车运行维护费开支内容包括车辆加油费、保险费、过路费、维修费。公务用车购置数0辆，公务用车保有量1辆。国有资产占用情况中固定资产车辆0辆，与公务用车保有量差异原因是：借用其他单位车辆，车辆费用由本单位支付。</w:t>
      </w:r>
    </w:p>
    <w:p w14:paraId="46C795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DD20A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0.12万元，决算数0.12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0.12万元，决算数0.12万元，预决算差异率0.00%，主要原因是：严格按照预算执行，预决算无差异。公务接待费全年预算数0.00万元，决算数0.00万元，预决算差异率0.00%，主要原因是：本单位无公务接待费。</w:t>
      </w:r>
    </w:p>
    <w:p w14:paraId="2E8D9DA7">
      <w:pPr>
        <w:spacing w:line="640" w:lineRule="exact"/>
        <w:ind w:firstLine="640"/>
        <w:jc w:val="both"/>
        <w:outlineLvl w:val="2"/>
      </w:pPr>
      <w:r>
        <w:rPr>
          <w:rFonts w:ascii="黑体" w:hAnsi="黑体" w:eastAsia="黑体"/>
          <w:sz w:val="32"/>
        </w:rPr>
        <w:t>十、其他重要事项的情况说明</w:t>
      </w:r>
    </w:p>
    <w:p w14:paraId="436A1814">
      <w:pPr>
        <w:spacing w:line="640" w:lineRule="exact"/>
        <w:ind w:firstLine="640"/>
        <w:jc w:val="both"/>
        <w:outlineLvl w:val="3"/>
      </w:pPr>
      <w:r>
        <w:rPr>
          <w:rFonts w:ascii="楷体_GB2312" w:hAnsi="楷体_GB2312" w:eastAsia="楷体_GB2312"/>
          <w:b/>
          <w:sz w:val="32"/>
        </w:rPr>
        <w:t>（一）机关运行经费及公用经费支出情况</w:t>
      </w:r>
    </w:p>
    <w:p w14:paraId="402F8F2A">
      <w:pPr>
        <w:spacing w:line="580" w:lineRule="exact"/>
        <w:ind w:firstLine="640"/>
        <w:jc w:val="both"/>
      </w:pPr>
      <w:r>
        <w:rPr>
          <w:rFonts w:ascii="仿宋_GB2312" w:hAnsi="仿宋_GB2312" w:eastAsia="仿宋_GB2312"/>
          <w:b w:val="0"/>
          <w:sz w:val="32"/>
        </w:rPr>
        <w:t>2024年度阿图什市信访局（行政单位和参照公务员法管理事业单位）机关运行经费支出1.75万元，比上年减少25.75万元，下降93.64%，主要原因是：本年单位部分公用经费均在项目中列支，基本支出中减少公用经费。</w:t>
      </w:r>
    </w:p>
    <w:p w14:paraId="0BE55BB9">
      <w:pPr>
        <w:spacing w:line="640" w:lineRule="exact"/>
        <w:ind w:firstLine="640"/>
        <w:jc w:val="both"/>
        <w:outlineLvl w:val="3"/>
      </w:pPr>
      <w:r>
        <w:rPr>
          <w:rFonts w:ascii="楷体_GB2312" w:hAnsi="楷体_GB2312" w:eastAsia="楷体_GB2312"/>
          <w:b/>
          <w:sz w:val="32"/>
        </w:rPr>
        <w:t>（二）政府采购情况</w:t>
      </w:r>
    </w:p>
    <w:p w14:paraId="7E70B8BA">
      <w:pPr>
        <w:spacing w:line="580" w:lineRule="exact"/>
        <w:ind w:firstLine="640"/>
        <w:jc w:val="both"/>
      </w:pPr>
      <w:r>
        <w:rPr>
          <w:rFonts w:ascii="仿宋_GB2312" w:hAnsi="仿宋_GB2312" w:eastAsia="仿宋_GB2312"/>
          <w:b w:val="0"/>
          <w:sz w:val="32"/>
        </w:rPr>
        <w:t>2024年度政府采购支出总额9.40万元，其中：政府采购货物支出6.03万元、政府采购工程支出0.00万元、政府采购服务支出3.36万元。</w:t>
      </w:r>
    </w:p>
    <w:p w14:paraId="4360B5F5">
      <w:pPr>
        <w:spacing w:line="580" w:lineRule="exact"/>
        <w:ind w:firstLine="640"/>
        <w:jc w:val="both"/>
      </w:pPr>
      <w:r>
        <w:rPr>
          <w:rFonts w:ascii="仿宋_GB2312" w:hAnsi="仿宋_GB2312" w:eastAsia="仿宋_GB2312"/>
          <w:b w:val="0"/>
          <w:sz w:val="32"/>
        </w:rPr>
        <w:t>授予中小企业合同金额6.10万元，占政府采购支出总额的64.89%，其中：授予小微企业合同金额5.80万元，占政府采购支出总额的61.70%。</w:t>
      </w:r>
    </w:p>
    <w:p w14:paraId="36B5DB37">
      <w:pPr>
        <w:spacing w:line="640" w:lineRule="exact"/>
        <w:ind w:firstLine="640"/>
        <w:jc w:val="both"/>
        <w:outlineLvl w:val="3"/>
      </w:pPr>
      <w:r>
        <w:rPr>
          <w:rFonts w:ascii="楷体_GB2312" w:hAnsi="楷体_GB2312" w:eastAsia="楷体_GB2312"/>
          <w:b/>
          <w:sz w:val="32"/>
        </w:rPr>
        <w:t>（三）国有资产占用情况说明</w:t>
      </w:r>
    </w:p>
    <w:p w14:paraId="754A38E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EF4F59C">
      <w:pPr>
        <w:spacing w:line="640" w:lineRule="exact"/>
        <w:ind w:firstLine="640"/>
        <w:jc w:val="both"/>
        <w:outlineLvl w:val="2"/>
      </w:pPr>
      <w:r>
        <w:rPr>
          <w:rFonts w:ascii="黑体" w:hAnsi="黑体" w:eastAsia="黑体"/>
          <w:sz w:val="32"/>
        </w:rPr>
        <w:t>十一、预算绩效的情况说明</w:t>
      </w:r>
    </w:p>
    <w:p w14:paraId="1F64624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238.68万元，实际执行总额238.68万元；预算绩效评价项目2个，全年预算数28.00万元，全年执行数20.10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3EBADBA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4EDCD50">
        <w:tblPrEx>
          <w:tblCellMar>
            <w:top w:w="0" w:type="dxa"/>
            <w:left w:w="108" w:type="dxa"/>
            <w:bottom w:w="0" w:type="dxa"/>
            <w:right w:w="108" w:type="dxa"/>
          </w:tblCellMar>
        </w:tblPrEx>
        <w:tc>
          <w:tcPr>
            <w:tcW w:w="8840" w:type="dxa"/>
            <w:gridSpan w:val="8"/>
            <w:vAlign w:val="center"/>
          </w:tcPr>
          <w:p w14:paraId="4704BDD5">
            <w:pPr>
              <w:jc w:val="center"/>
            </w:pPr>
            <w:r>
              <w:rPr>
                <w:rFonts w:ascii="宋体" w:hAnsi="宋体" w:eastAsia="宋体"/>
                <w:sz w:val="24"/>
              </w:rPr>
              <w:t>单位整体支出绩效自评表</w:t>
            </w:r>
          </w:p>
        </w:tc>
      </w:tr>
      <w:tr w14:paraId="53CDC66E">
        <w:tblPrEx>
          <w:tblCellMar>
            <w:top w:w="0" w:type="dxa"/>
            <w:left w:w="108" w:type="dxa"/>
            <w:bottom w:w="0" w:type="dxa"/>
            <w:right w:w="108" w:type="dxa"/>
          </w:tblCellMar>
        </w:tblPrEx>
        <w:tc>
          <w:tcPr>
            <w:tcW w:w="8840" w:type="dxa"/>
            <w:gridSpan w:val="8"/>
            <w:vAlign w:val="center"/>
          </w:tcPr>
          <w:p w14:paraId="02A96B0C">
            <w:pPr>
              <w:jc w:val="center"/>
            </w:pPr>
            <w:r>
              <w:rPr>
                <w:rFonts w:ascii="宋体" w:hAnsi="宋体" w:eastAsia="宋体"/>
                <w:sz w:val="24"/>
              </w:rPr>
              <w:t>（2024年度）</w:t>
            </w:r>
          </w:p>
        </w:tc>
      </w:tr>
      <w:tr w14:paraId="4C85F3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EBE4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C07C5">
            <w:pPr>
              <w:jc w:val="center"/>
            </w:pPr>
            <w:r>
              <w:rPr>
                <w:rFonts w:ascii="宋体" w:hAnsi="宋体" w:eastAsia="宋体"/>
                <w:sz w:val="16"/>
              </w:rPr>
              <w:t>阿图什市信访局</w:t>
            </w:r>
          </w:p>
        </w:tc>
      </w:tr>
      <w:tr w14:paraId="0621725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0CF0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7CAE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7CBC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7417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051B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CFC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CA91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D6C4E">
            <w:pPr>
              <w:jc w:val="center"/>
            </w:pPr>
            <w:r>
              <w:rPr>
                <w:rFonts w:ascii="宋体" w:hAnsi="宋体" w:eastAsia="宋体"/>
                <w:sz w:val="16"/>
              </w:rPr>
              <w:t>得分</w:t>
            </w:r>
          </w:p>
        </w:tc>
      </w:tr>
      <w:tr w14:paraId="3DFF05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8C64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7EA2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F902E">
            <w:pPr>
              <w:jc w:val="center"/>
            </w:pPr>
            <w:r>
              <w:rPr>
                <w:rFonts w:ascii="宋体" w:hAnsi="宋体" w:eastAsia="宋体"/>
                <w:sz w:val="16"/>
              </w:rPr>
              <w:t>254.85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F38D5">
            <w:pPr>
              <w:jc w:val="center"/>
            </w:pPr>
            <w:r>
              <w:rPr>
                <w:rFonts w:ascii="宋体" w:hAnsi="宋体" w:eastAsia="宋体"/>
                <w:sz w:val="16"/>
              </w:rPr>
              <w:t>238.68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A5007">
            <w:pPr>
              <w:jc w:val="center"/>
            </w:pPr>
            <w:r>
              <w:rPr>
                <w:rFonts w:ascii="宋体" w:hAnsi="宋体" w:eastAsia="宋体"/>
                <w:sz w:val="16"/>
              </w:rPr>
              <w:t>238.68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074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7811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B4B28">
            <w:pPr>
              <w:jc w:val="center"/>
            </w:pPr>
            <w:r>
              <w:rPr>
                <w:rFonts w:ascii="宋体" w:hAnsi="宋体" w:eastAsia="宋体"/>
                <w:sz w:val="16"/>
              </w:rPr>
              <w:t>10</w:t>
            </w:r>
          </w:p>
        </w:tc>
      </w:tr>
      <w:tr w14:paraId="134B55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7189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88B1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426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567B9">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F3AE7">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87B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B69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C1075">
            <w:pPr>
              <w:jc w:val="center"/>
            </w:pPr>
            <w:r>
              <w:rPr>
                <w:rFonts w:ascii="宋体" w:hAnsi="宋体" w:eastAsia="宋体"/>
                <w:sz w:val="16"/>
              </w:rPr>
              <w:t>—</w:t>
            </w:r>
          </w:p>
        </w:tc>
      </w:tr>
      <w:tr w14:paraId="36BA80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057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DB82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2C4F7">
            <w:pPr>
              <w:jc w:val="center"/>
            </w:pPr>
            <w:r>
              <w:rPr>
                <w:rFonts w:ascii="宋体" w:hAnsi="宋体" w:eastAsia="宋体"/>
                <w:sz w:val="16"/>
              </w:rPr>
              <w:t>254.85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05B9E">
            <w:pPr>
              <w:jc w:val="center"/>
            </w:pPr>
            <w:r>
              <w:rPr>
                <w:rFonts w:ascii="宋体" w:hAnsi="宋体" w:eastAsia="宋体"/>
                <w:sz w:val="16"/>
              </w:rPr>
              <w:t>237.18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2C943">
            <w:pPr>
              <w:jc w:val="center"/>
            </w:pPr>
            <w:r>
              <w:rPr>
                <w:rFonts w:ascii="宋体" w:hAnsi="宋体" w:eastAsia="宋体"/>
                <w:sz w:val="16"/>
              </w:rPr>
              <w:t>237.18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0AF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6F9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56C23">
            <w:pPr>
              <w:jc w:val="center"/>
            </w:pPr>
            <w:r>
              <w:rPr>
                <w:rFonts w:ascii="宋体" w:hAnsi="宋体" w:eastAsia="宋体"/>
                <w:sz w:val="16"/>
              </w:rPr>
              <w:t>—</w:t>
            </w:r>
          </w:p>
        </w:tc>
      </w:tr>
      <w:tr w14:paraId="05371E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A2E8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FFAA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359A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9855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9875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01F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D76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57A01">
            <w:pPr>
              <w:jc w:val="center"/>
            </w:pPr>
            <w:r>
              <w:rPr>
                <w:rFonts w:ascii="宋体" w:hAnsi="宋体" w:eastAsia="宋体"/>
                <w:sz w:val="16"/>
              </w:rPr>
              <w:t>—</w:t>
            </w:r>
          </w:p>
        </w:tc>
      </w:tr>
      <w:tr w14:paraId="0946F0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3032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FB18A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0ED312">
            <w:pPr>
              <w:jc w:val="center"/>
            </w:pPr>
            <w:r>
              <w:rPr>
                <w:rFonts w:ascii="宋体" w:hAnsi="宋体" w:eastAsia="宋体"/>
                <w:sz w:val="16"/>
              </w:rPr>
              <w:t>实际完成情况</w:t>
            </w:r>
          </w:p>
        </w:tc>
      </w:tr>
      <w:tr w14:paraId="1258C1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746A7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1742A0">
            <w:pPr>
              <w:jc w:val="both"/>
            </w:pPr>
            <w:r>
              <w:rPr>
                <w:rFonts w:ascii="宋体" w:hAnsi="宋体" w:eastAsia="宋体"/>
                <w:sz w:val="16"/>
              </w:rPr>
              <w:t xml:space="preserve">单位基本职能：贯彻落实党中央、自治区、自治州党委和市委、市政府及上级主管部门关于信访工作的方针、政策和法规，做好阿图什市信访工作。根据自治区、自治州有关信访工作的方针政策和法规，结合阿图什市信访工作实际，研究制定贯彻、宣传、落实的措施、方法，并组织实施。深入各乡镇（街道）、村（社区）调查研究，总结推广好的做法、经验，提出改进和加强信访工作的意见和建议。代表市委、市人民政府受理人民群众给市委、市人民政府及其主要领导人的来信，为来信来访群众提供有关法律、法规和政策咨询服务，向市委、市人民政府反映来信来访提出的重要建议、意见和问题。负责“市长信箱”的日常受理、处理、查办工作。综合分析研判信访形势，开展调查研究，征集群众建议，及时向市委、市人民政府提供信访信息。承办上级领导机关、市委、市人民政府领导交办的信访事项，督促检查领导批示件落实情况；向有关单位交办信访事项；督促、检查和反馈重要信访事项的处理和落实情况。协调处理跨部门信访事项、群众集体上访和突发上访事件；检查、协调做好阿图什市党政军各部门的信访工作。了解掌握信访工作队伍建设情况，做好信访干部的培训，落实信访信息化建设。 </w:t>
            </w:r>
            <w:r>
              <w:rPr>
                <w:rFonts w:ascii="宋体" w:hAnsi="宋体" w:eastAsia="宋体"/>
                <w:sz w:val="16"/>
              </w:rPr>
              <w:br w:type="textWrapping"/>
            </w:r>
            <w:r>
              <w:rPr>
                <w:rFonts w:ascii="宋体" w:hAnsi="宋体" w:eastAsia="宋体"/>
                <w:sz w:val="16"/>
              </w:rPr>
              <w:t xml:space="preserve">单位编制情况：下设3个处室，编制数11，实有人数16人，其中：在职12人、退休4人。 </w:t>
            </w:r>
            <w:r>
              <w:rPr>
                <w:rFonts w:ascii="宋体" w:hAnsi="宋体" w:eastAsia="宋体"/>
                <w:sz w:val="16"/>
              </w:rPr>
              <w:br w:type="textWrapping"/>
            </w:r>
            <w:r>
              <w:rPr>
                <w:rFonts w:ascii="宋体" w:hAnsi="宋体" w:eastAsia="宋体"/>
                <w:sz w:val="16"/>
              </w:rPr>
              <w:t>中长期规划：紧紧围绕市委、市政府中心任务和重点工作，以领导满意、基层满意、群众满意为目标，以“抓铁有痕、踏石留印”的劲头、振奋精神、攻坚克难为阿图什市政府各项工作顺利开展提供有力的保障。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7FE792">
            <w:pPr>
              <w:jc w:val="both"/>
            </w:pPr>
            <w:r>
              <w:rPr>
                <w:rFonts w:ascii="宋体" w:hAnsi="宋体" w:eastAsia="宋体"/>
                <w:sz w:val="16"/>
              </w:rPr>
              <w:t>本单位共计支出238.68万元，用于保障部门在职12人、退休4人的工资福利、各项补助正常发放及部门单位正常运转，单位预算项目根据年初计划均已完成，紧紧围绕市委、市政府中心任务和重点工作，以领导满意、基层满意、群众满意为目标，以“抓铁有痕、踏石留印”的劲头、振奋精神、攻坚克难为阿图什市政府各项工作顺利开展提供有力的保障，年度任务中完成保障单位日常运转期限12个月，打造乡镇（街道）“一站式”服务平台10个等目标。</w:t>
            </w:r>
          </w:p>
        </w:tc>
      </w:tr>
      <w:tr w14:paraId="7D0C47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4F81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CB27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9378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001A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67D5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2DA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AE2D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9BDAF">
            <w:pPr>
              <w:jc w:val="center"/>
            </w:pPr>
            <w:r>
              <w:rPr>
                <w:rFonts w:ascii="宋体" w:hAnsi="宋体" w:eastAsia="宋体"/>
                <w:sz w:val="16"/>
              </w:rPr>
              <w:t>得分</w:t>
            </w:r>
          </w:p>
        </w:tc>
      </w:tr>
      <w:tr w14:paraId="2C7D62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07EA6">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64931">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56895">
            <w:pPr>
              <w:jc w:val="center"/>
            </w:pPr>
            <w:r>
              <w:rPr>
                <w:rFonts w:ascii="宋体" w:hAnsi="宋体" w:eastAsia="宋体"/>
                <w:sz w:val="16"/>
              </w:rPr>
              <w:t>信访及时受理率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AA4E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5944A">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8195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CBD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F1888">
            <w:pPr>
              <w:jc w:val="center"/>
            </w:pPr>
            <w:r>
              <w:rPr>
                <w:rFonts w:ascii="宋体" w:hAnsi="宋体" w:eastAsia="宋体"/>
                <w:sz w:val="16"/>
              </w:rPr>
              <w:t>18</w:t>
            </w:r>
          </w:p>
        </w:tc>
      </w:tr>
      <w:tr w14:paraId="3CE21F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1CBEB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979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6A6AA">
            <w:pPr>
              <w:jc w:val="center"/>
            </w:pPr>
            <w:r>
              <w:rPr>
                <w:rFonts w:ascii="宋体" w:hAnsi="宋体" w:eastAsia="宋体"/>
                <w:sz w:val="16"/>
              </w:rPr>
              <w:t>信访按期办结率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9E22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B28D8">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C811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04DE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C60A8">
            <w:pPr>
              <w:jc w:val="center"/>
            </w:pPr>
            <w:r>
              <w:rPr>
                <w:rFonts w:ascii="宋体" w:hAnsi="宋体" w:eastAsia="宋体"/>
                <w:sz w:val="16"/>
              </w:rPr>
              <w:t>18</w:t>
            </w:r>
          </w:p>
        </w:tc>
      </w:tr>
      <w:tr w14:paraId="0717C5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23D2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5755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E2115">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6418C">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503D8">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54F2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402EB">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04EF6">
            <w:pPr>
              <w:jc w:val="center"/>
            </w:pPr>
            <w:r>
              <w:rPr>
                <w:rFonts w:ascii="宋体" w:hAnsi="宋体" w:eastAsia="宋体"/>
                <w:sz w:val="16"/>
              </w:rPr>
              <w:t>18</w:t>
            </w:r>
          </w:p>
        </w:tc>
      </w:tr>
      <w:tr w14:paraId="437ED9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FA5E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5D21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1A17B">
            <w:pPr>
              <w:jc w:val="center"/>
            </w:pPr>
            <w:r>
              <w:rPr>
                <w:rFonts w:ascii="宋体" w:hAnsi="宋体" w:eastAsia="宋体"/>
                <w:sz w:val="16"/>
              </w:rPr>
              <w:t>打造乡镇（街道）“一站式”服务平台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79FEE">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BF9A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E89A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2CC29">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4CDA6">
            <w:pPr>
              <w:jc w:val="center"/>
            </w:pPr>
            <w:r>
              <w:rPr>
                <w:rFonts w:ascii="宋体" w:hAnsi="宋体" w:eastAsia="宋体"/>
                <w:sz w:val="16"/>
              </w:rPr>
              <w:t>18</w:t>
            </w:r>
          </w:p>
        </w:tc>
      </w:tr>
      <w:tr w14:paraId="522EB2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C449C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E86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7277A">
            <w:pPr>
              <w:jc w:val="center"/>
            </w:pPr>
            <w:r>
              <w:rPr>
                <w:rFonts w:ascii="宋体" w:hAnsi="宋体" w:eastAsia="宋体"/>
                <w:sz w:val="16"/>
              </w:rPr>
              <w:t>向群众提供有关法律、法规和政策咨询服务覆盖率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BFF9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B290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4FFA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D49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7D773">
            <w:pPr>
              <w:jc w:val="center"/>
            </w:pPr>
            <w:r>
              <w:rPr>
                <w:rFonts w:ascii="宋体" w:hAnsi="宋体" w:eastAsia="宋体"/>
                <w:sz w:val="16"/>
              </w:rPr>
              <w:t>18</w:t>
            </w:r>
          </w:p>
        </w:tc>
      </w:tr>
    </w:tbl>
    <w:p w14:paraId="68C04615">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14:paraId="5EDF158B">
        <w:tblPrEx>
          <w:tblCellMar>
            <w:top w:w="0" w:type="dxa"/>
            <w:left w:w="108" w:type="dxa"/>
            <w:bottom w:w="0" w:type="dxa"/>
            <w:right w:w="108" w:type="dxa"/>
          </w:tblCellMar>
        </w:tblPrEx>
        <w:tc>
          <w:tcPr>
            <w:tcW w:w="8848" w:type="dxa"/>
            <w:gridSpan w:val="14"/>
            <w:vAlign w:val="center"/>
          </w:tcPr>
          <w:p w14:paraId="640F926E">
            <w:pPr>
              <w:jc w:val="center"/>
            </w:pPr>
            <w:r>
              <w:rPr>
                <w:rFonts w:ascii="宋体" w:hAnsi="宋体" w:eastAsia="宋体"/>
                <w:sz w:val="24"/>
              </w:rPr>
              <w:t>项目支出绩效自评表</w:t>
            </w:r>
          </w:p>
        </w:tc>
      </w:tr>
      <w:tr w14:paraId="142E7DCE">
        <w:tblPrEx>
          <w:tblCellMar>
            <w:top w:w="0" w:type="dxa"/>
            <w:left w:w="108" w:type="dxa"/>
            <w:bottom w:w="0" w:type="dxa"/>
            <w:right w:w="108" w:type="dxa"/>
          </w:tblCellMar>
        </w:tblPrEx>
        <w:tc>
          <w:tcPr>
            <w:tcW w:w="8848" w:type="dxa"/>
            <w:gridSpan w:val="14"/>
            <w:vAlign w:val="center"/>
          </w:tcPr>
          <w:p w14:paraId="1AB325E3">
            <w:pPr>
              <w:jc w:val="center"/>
            </w:pPr>
            <w:r>
              <w:rPr>
                <w:rFonts w:ascii="宋体" w:hAnsi="宋体" w:eastAsia="宋体"/>
                <w:sz w:val="24"/>
              </w:rPr>
              <w:t>(2024年度)</w:t>
            </w:r>
          </w:p>
        </w:tc>
      </w:tr>
      <w:tr w14:paraId="6D5F9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EE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F4CF00">
            <w:pPr>
              <w:jc w:val="center"/>
            </w:pPr>
            <w:r>
              <w:rPr>
                <w:rFonts w:ascii="宋体" w:hAnsi="宋体" w:eastAsia="宋体"/>
                <w:sz w:val="16"/>
              </w:rPr>
              <w:t>信访业务工作经费项目</w:t>
            </w:r>
          </w:p>
        </w:tc>
      </w:tr>
      <w:tr w14:paraId="24F666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0B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56C1B">
            <w:pPr>
              <w:jc w:val="center"/>
            </w:pPr>
            <w:r>
              <w:rPr>
                <w:rFonts w:ascii="宋体" w:hAnsi="宋体" w:eastAsia="宋体"/>
                <w:sz w:val="16"/>
              </w:rPr>
              <w:t>阿图什市信访局</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6B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D9924A">
            <w:pPr>
              <w:jc w:val="center"/>
            </w:pPr>
            <w:r>
              <w:rPr>
                <w:rFonts w:ascii="宋体" w:hAnsi="宋体" w:eastAsia="宋体"/>
                <w:sz w:val="16"/>
              </w:rPr>
              <w:t>阿图什市信访局</w:t>
            </w:r>
          </w:p>
        </w:tc>
      </w:tr>
      <w:tr w14:paraId="7F91E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072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4CA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5BB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59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EB8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45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147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0AAA">
            <w:pPr>
              <w:jc w:val="center"/>
            </w:pPr>
            <w:r>
              <w:rPr>
                <w:rFonts w:ascii="宋体" w:hAnsi="宋体" w:eastAsia="宋体"/>
                <w:sz w:val="16"/>
              </w:rPr>
              <w:t>得分</w:t>
            </w:r>
          </w:p>
        </w:tc>
      </w:tr>
      <w:tr w14:paraId="5C5D7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DC0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7A1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DA0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85F1E">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0C34">
            <w:pPr>
              <w:jc w:val="center"/>
            </w:pPr>
            <w:r>
              <w:rPr>
                <w:rFonts w:ascii="宋体" w:hAnsi="宋体" w:eastAsia="宋体"/>
                <w:sz w:val="16"/>
              </w:rPr>
              <w:t>11.02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E5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6DBB">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D2CF">
            <w:pPr>
              <w:jc w:val="center"/>
            </w:pPr>
            <w:r>
              <w:rPr>
                <w:rFonts w:ascii="宋体" w:hAnsi="宋体" w:eastAsia="宋体"/>
                <w:sz w:val="16"/>
              </w:rPr>
              <w:t>0.30分</w:t>
            </w:r>
          </w:p>
        </w:tc>
      </w:tr>
      <w:tr w14:paraId="2B73E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211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6D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73E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DFA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F211E">
            <w:pPr>
              <w:jc w:val="center"/>
            </w:pPr>
            <w:r>
              <w:rPr>
                <w:rFonts w:ascii="宋体" w:hAnsi="宋体" w:eastAsia="宋体"/>
                <w:sz w:val="16"/>
              </w:rPr>
              <w:t>11.02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F4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69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993F">
            <w:pPr>
              <w:jc w:val="center"/>
            </w:pPr>
            <w:r>
              <w:rPr>
                <w:rFonts w:ascii="宋体" w:hAnsi="宋体" w:eastAsia="宋体"/>
                <w:sz w:val="16"/>
              </w:rPr>
              <w:t>—</w:t>
            </w:r>
          </w:p>
        </w:tc>
      </w:tr>
      <w:tr w14:paraId="5932E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5A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071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FC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761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8E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8E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9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8F75">
            <w:pPr>
              <w:jc w:val="center"/>
            </w:pPr>
            <w:r>
              <w:rPr>
                <w:rFonts w:ascii="宋体" w:hAnsi="宋体" w:eastAsia="宋体"/>
                <w:sz w:val="16"/>
              </w:rPr>
              <w:t>—</w:t>
            </w:r>
          </w:p>
        </w:tc>
      </w:tr>
      <w:tr w14:paraId="4F32D3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C714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5A0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90922">
            <w:pPr>
              <w:jc w:val="center"/>
            </w:pPr>
            <w:r>
              <w:rPr>
                <w:rFonts w:ascii="宋体" w:hAnsi="宋体" w:eastAsia="宋体"/>
                <w:sz w:val="16"/>
              </w:rPr>
              <w:t>实际完成情况</w:t>
            </w:r>
          </w:p>
        </w:tc>
      </w:tr>
      <w:tr w14:paraId="607FE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E61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7AD98">
            <w:pPr>
              <w:jc w:val="both"/>
            </w:pPr>
            <w:r>
              <w:rPr>
                <w:rFonts w:ascii="宋体" w:hAnsi="宋体" w:eastAsia="宋体"/>
                <w:sz w:val="16"/>
              </w:rPr>
              <w:t>根据《关于进一步加强驻京信访工作组管理保障工作的通知》（新信联发〔2016〕12号）文件精神，2024年需增加信访业务工作经费18万元（驻京信访服务保障经费18万元），主要用于计划信访业务出差人数20人，信访业务出差次数6次，采购办公用品及设备等，进一步加大创建力度，对照“八个要素”，优化体制机制建设、问题化解质效、资源力量保障等方面的措施，高标准高质量开展创建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4AFB6D">
            <w:pPr>
              <w:jc w:val="both"/>
            </w:pPr>
            <w:r>
              <w:rPr>
                <w:rFonts w:ascii="宋体" w:hAnsi="宋体" w:eastAsia="宋体"/>
                <w:sz w:val="16"/>
              </w:rPr>
              <w:t>本项目共计支出11.0166万元，用于信访业务出差人数6人，信访业务出差次数4次；通过实施本项目进一步加大创建力度，对照“八个要素”，优化体制机制建设、问题化解质效、资源力量保障等方面的措施，高标准高质量开展创建工作。</w:t>
            </w:r>
          </w:p>
        </w:tc>
      </w:tr>
      <w:tr w14:paraId="3344D9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042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19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F7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89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37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9B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4F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57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4B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27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72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75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6E12">
            <w:pPr>
              <w:jc w:val="center"/>
            </w:pPr>
            <w:r>
              <w:rPr>
                <w:rFonts w:ascii="宋体" w:hAnsi="宋体" w:eastAsia="宋体"/>
                <w:sz w:val="16"/>
              </w:rPr>
              <w:t>偏差原因分析及改进措施</w:t>
            </w:r>
          </w:p>
        </w:tc>
      </w:tr>
      <w:tr w14:paraId="165448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E5C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6BAB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F60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3AC0">
            <w:pPr>
              <w:jc w:val="center"/>
            </w:pPr>
            <w:r>
              <w:rPr>
                <w:rFonts w:ascii="宋体" w:hAnsi="宋体" w:eastAsia="宋体"/>
                <w:sz w:val="16"/>
              </w:rPr>
              <w:t>信访业务出差人数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8310">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5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C3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94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A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D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D5D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CF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658A">
            <w:pPr>
              <w:jc w:val="center"/>
            </w:pPr>
            <w:r>
              <w:rPr>
                <w:rFonts w:ascii="宋体" w:hAnsi="宋体" w:eastAsia="宋体"/>
                <w:sz w:val="16"/>
              </w:rPr>
              <w:t>原因：根据实际情况开展信访业务工作，因此指标存在偏差；措施：下一年度做好计划及项目管理，减少实施过程中的偏差。</w:t>
            </w:r>
          </w:p>
        </w:tc>
      </w:tr>
      <w:tr w14:paraId="58650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B2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8C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F9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4045">
            <w:pPr>
              <w:jc w:val="center"/>
            </w:pPr>
            <w:r>
              <w:rPr>
                <w:rFonts w:ascii="宋体" w:hAnsi="宋体" w:eastAsia="宋体"/>
                <w:sz w:val="16"/>
              </w:rPr>
              <w:t>信访业务出差次数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6C4E">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5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47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DB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0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B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852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4B2D">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97B84">
            <w:pPr>
              <w:jc w:val="center"/>
            </w:pPr>
            <w:r>
              <w:rPr>
                <w:rFonts w:ascii="宋体" w:hAnsi="宋体" w:eastAsia="宋体"/>
                <w:sz w:val="16"/>
              </w:rPr>
              <w:t>原因：根据实际情况开展信访业务工作，因此指标存在偏差；措施：下一年度做好计划及项目管理，减少实施过程中的偏差。</w:t>
            </w:r>
          </w:p>
        </w:tc>
      </w:tr>
      <w:tr w14:paraId="2216C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C5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4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A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0388">
            <w:pPr>
              <w:jc w:val="center"/>
            </w:pPr>
            <w:r>
              <w:rPr>
                <w:rFonts w:ascii="宋体" w:hAnsi="宋体" w:eastAsia="宋体"/>
                <w:sz w:val="16"/>
              </w:rPr>
              <w:t>采购办公用品及设备批次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BAED">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3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E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49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C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1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3643">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66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2EE2E">
            <w:pPr>
              <w:jc w:val="center"/>
            </w:pPr>
            <w:r>
              <w:rPr>
                <w:rFonts w:ascii="宋体" w:hAnsi="宋体" w:eastAsia="宋体"/>
                <w:sz w:val="16"/>
              </w:rPr>
              <w:t>原因：项目年初预算指标不够精准，导致指标存在偏差；措施：下一年度做好计划及项目管理，减少实施过程中的偏差；</w:t>
            </w:r>
          </w:p>
        </w:tc>
      </w:tr>
      <w:tr w14:paraId="704C1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EC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8A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9B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F64C">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5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A3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1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FE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9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B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EF79">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6AC1">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F4AA">
            <w:pPr>
              <w:jc w:val="center"/>
            </w:pPr>
            <w:r>
              <w:rPr>
                <w:rFonts w:ascii="宋体" w:hAnsi="宋体" w:eastAsia="宋体"/>
                <w:sz w:val="16"/>
              </w:rPr>
              <w:t>原因：项目资金未支付完毕，产生的效果有待提升。措施：及时申请并支付项目资金，基本达到预期效果。</w:t>
            </w:r>
          </w:p>
        </w:tc>
      </w:tr>
      <w:tr w14:paraId="62E88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EA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61C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BF9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C1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0E4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4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DF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1A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AE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44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535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B7D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E2278">
            <w:pPr>
              <w:jc w:val="center"/>
            </w:pPr>
          </w:p>
        </w:tc>
      </w:tr>
      <w:tr w14:paraId="0F46E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82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66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3E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1F68">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D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D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D0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1A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4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1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25B4">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23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ACA4">
            <w:pPr>
              <w:jc w:val="center"/>
            </w:pPr>
            <w:r>
              <w:rPr>
                <w:rFonts w:ascii="宋体" w:hAnsi="宋体" w:eastAsia="宋体"/>
                <w:sz w:val="16"/>
              </w:rPr>
              <w:t>原因：项目年初预算指标不够精准，导致指标存在偏差；措施：下一年度做好计划及项目管理，减少实施过程中的偏差；</w:t>
            </w:r>
          </w:p>
        </w:tc>
      </w:tr>
      <w:tr w14:paraId="6D88B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AA7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A53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B38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C693">
            <w:pPr>
              <w:jc w:val="center"/>
            </w:pPr>
            <w:r>
              <w:rPr>
                <w:rFonts w:ascii="宋体" w:hAnsi="宋体" w:eastAsia="宋体"/>
                <w:sz w:val="16"/>
              </w:rPr>
              <w:t>信访业务出差费用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3C11">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8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9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34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1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637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BD85">
            <w:pPr>
              <w:jc w:val="center"/>
            </w:pPr>
            <w:r>
              <w:rPr>
                <w:rFonts w:ascii="宋体" w:hAnsi="宋体" w:eastAsia="宋体"/>
                <w:sz w:val="16"/>
              </w:rPr>
              <w:t>=11.0166万元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0813">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6BA3">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541A9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27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9D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70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F6BB">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2094">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4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02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D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0C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EFE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D2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EB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876BC">
            <w:pPr>
              <w:jc w:val="center"/>
            </w:pPr>
            <w:r>
              <w:rPr>
                <w:rFonts w:ascii="宋体" w:hAnsi="宋体" w:eastAsia="宋体"/>
                <w:sz w:val="16"/>
              </w:rPr>
              <w:t>原因：项目年初预算指标不够精准，导致指标存在偏差；措施：下一年度做好计划及项目管理，减少实施过程中的偏差；</w:t>
            </w:r>
          </w:p>
        </w:tc>
      </w:tr>
      <w:tr w14:paraId="5A69A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36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64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8A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5EED">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7E3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5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6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2E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9F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5D4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734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41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559BA">
            <w:pPr>
              <w:jc w:val="center"/>
            </w:pPr>
          </w:p>
        </w:tc>
      </w:tr>
      <w:tr w14:paraId="416E1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9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D4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F3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D823">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45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A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5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40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74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992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E7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FB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CC7F7">
            <w:pPr>
              <w:jc w:val="center"/>
            </w:pPr>
          </w:p>
        </w:tc>
      </w:tr>
      <w:tr w14:paraId="397015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91D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6D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5C7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8A69">
            <w:pPr>
              <w:jc w:val="center"/>
            </w:pPr>
            <w:r>
              <w:rPr>
                <w:rFonts w:ascii="宋体" w:hAnsi="宋体" w:eastAsia="宋体"/>
                <w:sz w:val="16"/>
              </w:rPr>
              <w:t>42.35分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0B03AD"/>
        </w:tc>
      </w:tr>
    </w:tbl>
    <w:p w14:paraId="785A56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8D1AFDE">
        <w:tc>
          <w:tcPr>
            <w:tcW w:w="8848" w:type="dxa"/>
            <w:gridSpan w:val="14"/>
            <w:vAlign w:val="center"/>
          </w:tcPr>
          <w:p w14:paraId="22C88648">
            <w:pPr>
              <w:jc w:val="center"/>
            </w:pPr>
            <w:r>
              <w:rPr>
                <w:rFonts w:ascii="宋体" w:hAnsi="宋体" w:eastAsia="宋体"/>
                <w:sz w:val="24"/>
              </w:rPr>
              <w:t>项目支出绩效自评表</w:t>
            </w:r>
          </w:p>
        </w:tc>
      </w:tr>
      <w:tr w14:paraId="40C24150">
        <w:tblPrEx>
          <w:tblCellMar>
            <w:top w:w="0" w:type="dxa"/>
            <w:left w:w="108" w:type="dxa"/>
            <w:bottom w:w="0" w:type="dxa"/>
            <w:right w:w="108" w:type="dxa"/>
          </w:tblCellMar>
        </w:tblPrEx>
        <w:tc>
          <w:tcPr>
            <w:tcW w:w="8848" w:type="dxa"/>
            <w:gridSpan w:val="14"/>
            <w:vAlign w:val="center"/>
          </w:tcPr>
          <w:p w14:paraId="529B5AA2">
            <w:pPr>
              <w:jc w:val="center"/>
            </w:pPr>
            <w:r>
              <w:rPr>
                <w:rFonts w:ascii="宋体" w:hAnsi="宋体" w:eastAsia="宋体"/>
                <w:sz w:val="24"/>
              </w:rPr>
              <w:t>(2024年度)</w:t>
            </w:r>
          </w:p>
        </w:tc>
      </w:tr>
      <w:tr w14:paraId="0C980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17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5EB0D">
            <w:pPr>
              <w:jc w:val="center"/>
            </w:pPr>
            <w:r>
              <w:rPr>
                <w:rFonts w:ascii="宋体" w:hAnsi="宋体" w:eastAsia="宋体"/>
                <w:sz w:val="16"/>
              </w:rPr>
              <w:t>阿图什市信访联合接访中心运转项目</w:t>
            </w:r>
          </w:p>
        </w:tc>
      </w:tr>
      <w:tr w14:paraId="2E2E1C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69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EDA20">
            <w:pPr>
              <w:jc w:val="center"/>
            </w:pPr>
            <w:r>
              <w:rPr>
                <w:rFonts w:ascii="宋体" w:hAnsi="宋体" w:eastAsia="宋体"/>
                <w:sz w:val="16"/>
              </w:rPr>
              <w:t>阿图什市信访局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5A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DA6A2">
            <w:pPr>
              <w:jc w:val="center"/>
            </w:pPr>
            <w:r>
              <w:rPr>
                <w:rFonts w:ascii="宋体" w:hAnsi="宋体" w:eastAsia="宋体"/>
                <w:sz w:val="16"/>
              </w:rPr>
              <w:t>阿图什市信访局</w:t>
            </w:r>
          </w:p>
        </w:tc>
      </w:tr>
      <w:tr w14:paraId="7F8208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EFF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F8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06A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3F1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6FC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67F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F6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BD97">
            <w:pPr>
              <w:jc w:val="center"/>
            </w:pPr>
            <w:r>
              <w:rPr>
                <w:rFonts w:ascii="宋体" w:hAnsi="宋体" w:eastAsia="宋体"/>
                <w:sz w:val="16"/>
              </w:rPr>
              <w:t>得分</w:t>
            </w:r>
          </w:p>
        </w:tc>
      </w:tr>
      <w:tr w14:paraId="40CCF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C2D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6A9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E96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7B57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AA41">
            <w:pPr>
              <w:jc w:val="center"/>
            </w:pPr>
            <w:r>
              <w:rPr>
                <w:rFonts w:ascii="宋体" w:hAnsi="宋体" w:eastAsia="宋体"/>
                <w:sz w:val="16"/>
              </w:rPr>
              <w:t>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1A1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593D">
            <w:pPr>
              <w:jc w:val="center"/>
            </w:pPr>
            <w:r>
              <w:rPr>
                <w:rFonts w:ascii="宋体" w:hAnsi="宋体" w:eastAsia="宋体"/>
                <w:sz w:val="16"/>
              </w:rPr>
              <w:t>90.8%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F7F0">
            <w:pPr>
              <w:jc w:val="center"/>
            </w:pPr>
            <w:r>
              <w:rPr>
                <w:rFonts w:ascii="宋体" w:hAnsi="宋体" w:eastAsia="宋体"/>
                <w:sz w:val="16"/>
              </w:rPr>
              <w:t>7.70分</w:t>
            </w:r>
          </w:p>
        </w:tc>
      </w:tr>
      <w:tr w14:paraId="27455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375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D3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21A4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851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5FD80">
            <w:pPr>
              <w:jc w:val="center"/>
            </w:pPr>
            <w:r>
              <w:rPr>
                <w:rFonts w:ascii="宋体" w:hAnsi="宋体" w:eastAsia="宋体"/>
                <w:sz w:val="16"/>
              </w:rPr>
              <w:t>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B0B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7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2970">
            <w:pPr>
              <w:jc w:val="center"/>
            </w:pPr>
            <w:r>
              <w:rPr>
                <w:rFonts w:ascii="宋体" w:hAnsi="宋体" w:eastAsia="宋体"/>
                <w:sz w:val="16"/>
              </w:rPr>
              <w:t>—</w:t>
            </w:r>
          </w:p>
        </w:tc>
      </w:tr>
      <w:tr w14:paraId="619B3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736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223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B0B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3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7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FA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4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EF1C">
            <w:pPr>
              <w:jc w:val="center"/>
            </w:pPr>
            <w:r>
              <w:rPr>
                <w:rFonts w:ascii="宋体" w:hAnsi="宋体" w:eastAsia="宋体"/>
                <w:sz w:val="16"/>
              </w:rPr>
              <w:t>—</w:t>
            </w:r>
          </w:p>
        </w:tc>
      </w:tr>
      <w:tr w14:paraId="76917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EDD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47E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F826C2">
            <w:pPr>
              <w:jc w:val="center"/>
            </w:pPr>
            <w:r>
              <w:rPr>
                <w:rFonts w:ascii="宋体" w:hAnsi="宋体" w:eastAsia="宋体"/>
                <w:sz w:val="16"/>
              </w:rPr>
              <w:t>实际完成情况</w:t>
            </w:r>
          </w:p>
        </w:tc>
      </w:tr>
      <w:tr w14:paraId="31D59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4B4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B2ADEA">
            <w:pPr>
              <w:jc w:val="both"/>
            </w:pPr>
            <w:r>
              <w:rPr>
                <w:rFonts w:ascii="宋体" w:hAnsi="宋体" w:eastAsia="宋体"/>
                <w:sz w:val="16"/>
              </w:rPr>
              <w:t>联合接访中心运转项目预算10万元，主要用于1.办公用品及耗材、纸类3万元（政府采购）；2.参加信访工作会议、学习培训、信访保障工作经费等费用1万元；4.“无访村（社区）”工作经费1万元； 5.计算机、摄像机、照相机、打印机及复印机采购和维修费2万元（政府采购）；6.信访群众服务保障饮水费0.5万元；7.印刷《信访工作条例》及信访法治化工作指南、导引图</w:t>
            </w:r>
            <w:r>
              <w:rPr>
                <w:rFonts w:hint="eastAsia" w:ascii="宋体" w:hAnsi="宋体"/>
                <w:sz w:val="16"/>
                <w:lang w:eastAsia="zh-CN"/>
              </w:rPr>
              <w:t>及其他工作</w:t>
            </w:r>
            <w:r>
              <w:rPr>
                <w:rFonts w:ascii="宋体" w:hAnsi="宋体" w:eastAsia="宋体"/>
                <w:sz w:val="16"/>
              </w:rPr>
              <w:t>制度等费用1万元；8.信访群众服务期刊费0.5万元；9.办公室场所、卫生场所用品及维修费0.5万元；10.</w:t>
            </w:r>
            <w:r>
              <w:rPr>
                <w:rFonts w:hint="eastAsia" w:ascii="宋体" w:hAnsi="宋体"/>
                <w:sz w:val="16"/>
                <w:lang w:eastAsia="zh-CN"/>
              </w:rPr>
              <w:t>节前</w:t>
            </w:r>
            <w:r>
              <w:rPr>
                <w:rFonts w:ascii="宋体" w:hAnsi="宋体" w:eastAsia="宋体"/>
                <w:sz w:val="16"/>
              </w:rPr>
              <w:t>慰问基层信访工作人员慰问费0.5万元；通过项目实施，确保我市信访工作顺利开展，有效解决我市信访问题。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6798D6">
            <w:pPr>
              <w:jc w:val="both"/>
            </w:pPr>
            <w:r>
              <w:rPr>
                <w:rFonts w:ascii="宋体" w:hAnsi="宋体" w:eastAsia="宋体"/>
                <w:sz w:val="16"/>
              </w:rPr>
              <w:t>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tc>
      </w:tr>
      <w:tr w14:paraId="0D698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94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55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B6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0E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71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08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47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77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EC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F6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F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01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D477">
            <w:pPr>
              <w:jc w:val="center"/>
            </w:pPr>
            <w:r>
              <w:rPr>
                <w:rFonts w:ascii="宋体" w:hAnsi="宋体" w:eastAsia="宋体"/>
                <w:sz w:val="16"/>
              </w:rPr>
              <w:t>偏差原因分析及改进措施</w:t>
            </w:r>
          </w:p>
        </w:tc>
      </w:tr>
      <w:tr w14:paraId="7ADB1F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28D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390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D38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24FC">
            <w:pPr>
              <w:jc w:val="center"/>
            </w:pPr>
            <w:r>
              <w:rPr>
                <w:rFonts w:ascii="宋体" w:hAnsi="宋体" w:eastAsia="宋体"/>
                <w:sz w:val="16"/>
              </w:rPr>
              <w:t>采购办公用品及耗材及纸类批次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1036">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B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C7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E5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5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5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6A68">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28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A199B">
            <w:pPr>
              <w:jc w:val="center"/>
            </w:pPr>
          </w:p>
        </w:tc>
      </w:tr>
      <w:tr w14:paraId="45055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86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3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8C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0ED2">
            <w:pPr>
              <w:jc w:val="center"/>
            </w:pPr>
            <w:r>
              <w:rPr>
                <w:rFonts w:ascii="宋体" w:hAnsi="宋体" w:eastAsia="宋体"/>
                <w:sz w:val="16"/>
              </w:rPr>
              <w:t>参加信访工作会议及学习培训次数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132F">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A4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B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0C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D0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FC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4AB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DC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B7F2A">
            <w:pPr>
              <w:jc w:val="center"/>
            </w:pPr>
            <w:r>
              <w:rPr>
                <w:rFonts w:ascii="宋体" w:hAnsi="宋体" w:eastAsia="宋体"/>
                <w:sz w:val="16"/>
              </w:rPr>
              <w:t>原因：项目年初预算指标不够精准，导致指标存在偏差；措施：下一年度做好计划及项目管理，减少实施过程中的偏差；</w:t>
            </w:r>
          </w:p>
        </w:tc>
      </w:tr>
      <w:tr w14:paraId="10FFE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4B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D5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BB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FC62">
            <w:pPr>
              <w:jc w:val="center"/>
            </w:pPr>
            <w:r>
              <w:rPr>
                <w:rFonts w:ascii="宋体" w:hAnsi="宋体" w:eastAsia="宋体"/>
                <w:sz w:val="16"/>
              </w:rPr>
              <w:t>办公设备耗材批次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58FC">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F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25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9D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1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85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64DD">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7C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75AD5">
            <w:pPr>
              <w:jc w:val="center"/>
            </w:pPr>
          </w:p>
        </w:tc>
      </w:tr>
      <w:tr w14:paraId="68611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31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01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52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BDF8">
            <w:pPr>
              <w:jc w:val="center"/>
            </w:pPr>
            <w:r>
              <w:rPr>
                <w:rFonts w:ascii="宋体" w:hAnsi="宋体" w:eastAsia="宋体"/>
                <w:sz w:val="16"/>
              </w:rPr>
              <w:t>印刷《信访工作条例》册数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784C">
            <w:pPr>
              <w:jc w:val="center"/>
            </w:pPr>
            <w:r>
              <w:rPr>
                <w:rFonts w:ascii="宋体" w:hAnsi="宋体" w:eastAsia="宋体"/>
                <w:sz w:val="16"/>
              </w:rPr>
              <w:t>&gt;=10000册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6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E7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FB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0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0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3EFE">
            <w:pPr>
              <w:jc w:val="center"/>
            </w:pPr>
            <w:r>
              <w:rPr>
                <w:rFonts w:ascii="宋体" w:hAnsi="宋体" w:eastAsia="宋体"/>
                <w:sz w:val="16"/>
              </w:rPr>
              <w:t>=10000册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DE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7E98">
            <w:pPr>
              <w:jc w:val="center"/>
            </w:pPr>
          </w:p>
        </w:tc>
      </w:tr>
      <w:tr w14:paraId="3069114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C4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0C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05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D93A">
            <w:pPr>
              <w:jc w:val="center"/>
            </w:pPr>
            <w:r>
              <w:rPr>
                <w:rFonts w:ascii="宋体" w:hAnsi="宋体" w:eastAsia="宋体"/>
                <w:sz w:val="16"/>
              </w:rPr>
              <w:t>日常业务工作开展率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6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B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35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19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4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C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4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471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B03B">
            <w:pPr>
              <w:jc w:val="center"/>
            </w:pPr>
          </w:p>
        </w:tc>
      </w:tr>
      <w:tr w14:paraId="2A280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C7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3F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A4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C7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EA9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0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3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D6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19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3E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AF4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7E0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5AD68">
            <w:pPr>
              <w:jc w:val="center"/>
            </w:pPr>
          </w:p>
        </w:tc>
      </w:tr>
      <w:tr w14:paraId="7A649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9FE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E73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64C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7E02">
            <w:pPr>
              <w:jc w:val="center"/>
            </w:pPr>
            <w:r>
              <w:rPr>
                <w:rFonts w:ascii="宋体" w:hAnsi="宋体" w:eastAsia="宋体"/>
                <w:sz w:val="16"/>
              </w:rPr>
              <w:t>办公用品及耗材、纸类成本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7F2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8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F4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72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5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EA2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45E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2A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6A93">
            <w:pPr>
              <w:jc w:val="center"/>
            </w:pPr>
          </w:p>
        </w:tc>
      </w:tr>
      <w:tr w14:paraId="466B2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C3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F7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0D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5F1C">
            <w:pPr>
              <w:jc w:val="center"/>
            </w:pPr>
            <w:r>
              <w:rPr>
                <w:rFonts w:ascii="宋体" w:hAnsi="宋体" w:eastAsia="宋体"/>
                <w:sz w:val="16"/>
              </w:rPr>
              <w:t>参加信访工作会议及学习培训费用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2B9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F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A5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9B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4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A7E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39BB">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16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49A1">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6649A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3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4D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6C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C9FF">
            <w:pPr>
              <w:jc w:val="center"/>
            </w:pPr>
            <w:r>
              <w:rPr>
                <w:rFonts w:ascii="宋体" w:hAnsi="宋体" w:eastAsia="宋体"/>
                <w:sz w:val="16"/>
              </w:rPr>
              <w:t>印刷宣传品成本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4E1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2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CA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1F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2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1DB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B8D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CE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6241A">
            <w:pPr>
              <w:jc w:val="center"/>
            </w:pPr>
          </w:p>
        </w:tc>
      </w:tr>
      <w:tr w14:paraId="2C0BD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A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39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BF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86DC">
            <w:pPr>
              <w:jc w:val="center"/>
            </w:pPr>
            <w:r>
              <w:rPr>
                <w:rFonts w:ascii="宋体" w:hAnsi="宋体" w:eastAsia="宋体"/>
                <w:sz w:val="16"/>
              </w:rPr>
              <w:t>采购办公设备及业务费用成本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4D0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B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9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22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3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E97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4C4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BB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E8537">
            <w:pPr>
              <w:jc w:val="center"/>
            </w:pPr>
          </w:p>
        </w:tc>
      </w:tr>
      <w:tr w14:paraId="7F522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3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5A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D6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47B6">
            <w:pPr>
              <w:jc w:val="center"/>
            </w:pPr>
            <w:r>
              <w:rPr>
                <w:rFonts w:ascii="宋体" w:hAnsi="宋体" w:eastAsia="宋体"/>
                <w:sz w:val="16"/>
              </w:rPr>
              <w:t>保障各项工作正常开展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45B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1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1D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99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F7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EC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3F0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86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478BC">
            <w:pPr>
              <w:jc w:val="center"/>
            </w:pPr>
          </w:p>
        </w:tc>
      </w:tr>
      <w:tr w14:paraId="66783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EA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4E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5C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1535">
            <w:pPr>
              <w:jc w:val="center"/>
            </w:pPr>
            <w:r>
              <w:rPr>
                <w:rFonts w:ascii="宋体" w:hAnsi="宋体" w:eastAsia="宋体"/>
                <w:sz w:val="16"/>
              </w:rPr>
              <w:t>信访人员满意度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7FDF">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6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09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5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FB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3F5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A9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C0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E0B22">
            <w:pPr>
              <w:jc w:val="center"/>
            </w:pPr>
          </w:p>
        </w:tc>
      </w:tr>
      <w:tr w14:paraId="0D542A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982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D4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3C3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1DEC">
            <w:pPr>
              <w:jc w:val="center"/>
            </w:pPr>
            <w:r>
              <w:rPr>
                <w:rFonts w:ascii="宋体" w:hAnsi="宋体" w:eastAsia="宋体"/>
                <w:sz w:val="16"/>
              </w:rPr>
              <w:t>85.7分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91833A"/>
        </w:tc>
      </w:tr>
    </w:tbl>
    <w:p w14:paraId="68D00F5C">
      <w:r>
        <w:br w:type="page"/>
      </w:r>
    </w:p>
    <w:p w14:paraId="501A33AD">
      <w:pPr>
        <w:spacing w:line="640" w:lineRule="exact"/>
        <w:ind w:firstLine="640"/>
        <w:jc w:val="both"/>
        <w:outlineLvl w:val="2"/>
      </w:pPr>
      <w:r>
        <w:rPr>
          <w:rFonts w:ascii="黑体" w:hAnsi="黑体" w:eastAsia="黑体"/>
          <w:sz w:val="32"/>
        </w:rPr>
        <w:t>十二、其他需说明的事项</w:t>
      </w:r>
    </w:p>
    <w:p w14:paraId="75205F4D">
      <w:pPr>
        <w:spacing w:line="580" w:lineRule="exact"/>
        <w:ind w:firstLine="640"/>
        <w:jc w:val="both"/>
      </w:pPr>
      <w:r>
        <w:rPr>
          <w:rFonts w:ascii="仿宋_GB2312" w:hAnsi="仿宋_GB2312" w:eastAsia="仿宋_GB2312"/>
          <w:b w:val="0"/>
          <w:sz w:val="32"/>
        </w:rPr>
        <w:t>本单位无其他需说明的事项。</w:t>
      </w:r>
    </w:p>
    <w:p w14:paraId="75E0C570">
      <w:r>
        <w:br w:type="page"/>
      </w:r>
    </w:p>
    <w:p w14:paraId="59352914">
      <w:pPr>
        <w:spacing w:line="240" w:lineRule="auto"/>
        <w:jc w:val="center"/>
        <w:outlineLvl w:val="1"/>
      </w:pPr>
      <w:r>
        <w:rPr>
          <w:rFonts w:ascii="黑体" w:hAnsi="黑体" w:eastAsia="黑体"/>
          <w:sz w:val="32"/>
        </w:rPr>
        <w:t>第三部分 专业名词解释</w:t>
      </w:r>
    </w:p>
    <w:p w14:paraId="5E50FD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E56B5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72E24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FE95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B4D22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E10C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D47AA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764EF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8A29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23452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0E014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C4E0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312B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B4DA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68827E">
      <w:r>
        <w:br w:type="page"/>
      </w:r>
    </w:p>
    <w:p w14:paraId="03458478">
      <w:pPr>
        <w:spacing w:line="240" w:lineRule="auto"/>
        <w:jc w:val="center"/>
        <w:outlineLvl w:val="1"/>
      </w:pPr>
      <w:r>
        <w:rPr>
          <w:rFonts w:ascii="黑体" w:hAnsi="黑体" w:eastAsia="黑体"/>
          <w:sz w:val="32"/>
        </w:rPr>
        <w:t>第四部分 部门决算报表（见附表）</w:t>
      </w:r>
    </w:p>
    <w:p w14:paraId="3B05EEE6">
      <w:pPr>
        <w:spacing w:line="240" w:lineRule="auto"/>
        <w:ind w:firstLine="640"/>
        <w:jc w:val="both"/>
      </w:pPr>
      <w:r>
        <w:rPr>
          <w:rFonts w:ascii="仿宋_GB2312" w:hAnsi="仿宋_GB2312" w:eastAsia="仿宋_GB2312"/>
          <w:b w:val="0"/>
          <w:sz w:val="32"/>
        </w:rPr>
        <w:t>一、《收入支出决算总表》</w:t>
      </w:r>
    </w:p>
    <w:p w14:paraId="7EE4757F">
      <w:pPr>
        <w:spacing w:line="240" w:lineRule="auto"/>
        <w:ind w:firstLine="640"/>
        <w:jc w:val="both"/>
      </w:pPr>
      <w:r>
        <w:rPr>
          <w:rFonts w:ascii="仿宋_GB2312" w:hAnsi="仿宋_GB2312" w:eastAsia="仿宋_GB2312"/>
          <w:b w:val="0"/>
          <w:sz w:val="32"/>
        </w:rPr>
        <w:t>二、《收入决算表》</w:t>
      </w:r>
    </w:p>
    <w:p w14:paraId="58722626">
      <w:pPr>
        <w:spacing w:line="240" w:lineRule="auto"/>
        <w:ind w:firstLine="640"/>
        <w:jc w:val="both"/>
      </w:pPr>
      <w:r>
        <w:rPr>
          <w:rFonts w:ascii="仿宋_GB2312" w:hAnsi="仿宋_GB2312" w:eastAsia="仿宋_GB2312"/>
          <w:b w:val="0"/>
          <w:sz w:val="32"/>
        </w:rPr>
        <w:t>三、《支出决算表》</w:t>
      </w:r>
    </w:p>
    <w:p w14:paraId="3D2879A8">
      <w:pPr>
        <w:spacing w:line="240" w:lineRule="auto"/>
        <w:ind w:firstLine="640"/>
        <w:jc w:val="both"/>
      </w:pPr>
      <w:r>
        <w:rPr>
          <w:rFonts w:ascii="仿宋_GB2312" w:hAnsi="仿宋_GB2312" w:eastAsia="仿宋_GB2312"/>
          <w:b w:val="0"/>
          <w:sz w:val="32"/>
        </w:rPr>
        <w:t>四、《财政拨款收入支出决算总表》</w:t>
      </w:r>
    </w:p>
    <w:p w14:paraId="249F33FA">
      <w:pPr>
        <w:spacing w:line="240" w:lineRule="auto"/>
        <w:ind w:firstLine="640"/>
        <w:jc w:val="both"/>
      </w:pPr>
      <w:r>
        <w:rPr>
          <w:rFonts w:ascii="仿宋_GB2312" w:hAnsi="仿宋_GB2312" w:eastAsia="仿宋_GB2312"/>
          <w:b w:val="0"/>
          <w:sz w:val="32"/>
        </w:rPr>
        <w:t>五、《一般公共预算财政拨款支出决算表》</w:t>
      </w:r>
    </w:p>
    <w:p w14:paraId="42750B21">
      <w:pPr>
        <w:spacing w:line="240" w:lineRule="auto"/>
        <w:ind w:firstLine="640"/>
        <w:jc w:val="both"/>
      </w:pPr>
      <w:r>
        <w:rPr>
          <w:rFonts w:ascii="仿宋_GB2312" w:hAnsi="仿宋_GB2312" w:eastAsia="仿宋_GB2312"/>
          <w:b w:val="0"/>
          <w:sz w:val="32"/>
        </w:rPr>
        <w:t>六、《一般公共预算财政拨款基本支出决算表》</w:t>
      </w:r>
    </w:p>
    <w:p w14:paraId="56C7C6D9">
      <w:pPr>
        <w:spacing w:line="240" w:lineRule="auto"/>
        <w:ind w:firstLine="640"/>
        <w:jc w:val="both"/>
      </w:pPr>
      <w:r>
        <w:rPr>
          <w:rFonts w:ascii="仿宋_GB2312" w:hAnsi="仿宋_GB2312" w:eastAsia="仿宋_GB2312"/>
          <w:b w:val="0"/>
          <w:sz w:val="32"/>
        </w:rPr>
        <w:t>七、《政府性基金预算财政拨款收入支出决算表》</w:t>
      </w:r>
    </w:p>
    <w:p w14:paraId="03D47F4E">
      <w:pPr>
        <w:spacing w:line="240" w:lineRule="auto"/>
        <w:ind w:firstLine="640"/>
        <w:jc w:val="both"/>
      </w:pPr>
      <w:r>
        <w:rPr>
          <w:rFonts w:ascii="仿宋_GB2312" w:hAnsi="仿宋_GB2312" w:eastAsia="仿宋_GB2312"/>
          <w:b w:val="0"/>
          <w:sz w:val="32"/>
        </w:rPr>
        <w:t>八、《国有资本经营预算财政拨款收入支出决算表》</w:t>
      </w:r>
    </w:p>
    <w:p w14:paraId="5717957D">
      <w:pPr>
        <w:spacing w:line="240" w:lineRule="auto"/>
        <w:ind w:firstLine="640"/>
        <w:jc w:val="both"/>
      </w:pPr>
      <w:r>
        <w:rPr>
          <w:rFonts w:ascii="仿宋_GB2312" w:hAnsi="仿宋_GB2312" w:eastAsia="仿宋_GB2312"/>
          <w:b w:val="0"/>
          <w:sz w:val="32"/>
        </w:rPr>
        <w:t>九、《财政拨款“三公”经费支出决算表》</w:t>
      </w:r>
    </w:p>
    <w:p w14:paraId="21F90B0B">
      <w:pPr>
        <w:spacing w:line="240" w:lineRule="auto"/>
        <w:ind w:firstLine="640"/>
        <w:jc w:val="both"/>
      </w:pPr>
    </w:p>
    <w:p w14:paraId="665F40D2">
      <w:pPr>
        <w:spacing w:line="240" w:lineRule="auto"/>
        <w:ind w:firstLine="640"/>
        <w:jc w:val="both"/>
      </w:pPr>
    </w:p>
    <w:p w14:paraId="3CDA25BA">
      <w:pPr>
        <w:spacing w:line="240" w:lineRule="auto"/>
        <w:ind w:firstLine="640"/>
        <w:jc w:val="both"/>
      </w:pPr>
    </w:p>
    <w:p w14:paraId="6E28DCB1">
      <w:pPr>
        <w:spacing w:line="240" w:lineRule="auto"/>
        <w:ind w:firstLine="640"/>
        <w:jc w:val="both"/>
      </w:pPr>
    </w:p>
    <w:p w14:paraId="4F28EF0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C602DD"/>
    <w:rsid w:val="38006E2C"/>
    <w:rsid w:val="3914510A"/>
    <w:rsid w:val="3B1220C9"/>
    <w:rsid w:val="3D5275AC"/>
    <w:rsid w:val="3E3F28F7"/>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1B51B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5616</Words>
  <Characters>6302</Characters>
  <Lines>0</Lines>
  <Paragraphs>0</Paragraphs>
  <TotalTime>0</TotalTime>
  <ScaleCrop>false</ScaleCrop>
  <LinksUpToDate>false</LinksUpToDate>
  <CharactersWithSpaces>6310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2025-11-21T03:23:52Z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