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lang w:eastAsia="zh-CN"/>
        </w:rPr>
      </w:pPr>
      <w:r>
        <w:rPr>
          <w:rFonts w:ascii="方正小标宋_GBK" w:eastAsia="方正小标宋_GBK" w:hAnsi="黑体" w:cs="仿宋_GB2312" w:hint="eastAsia"/>
          <w:bCs/>
          <w:color w:val="auto"/>
          <w:kern w:val="0"/>
          <w:sz w:val="44"/>
          <w:szCs w:val="44"/>
          <w:highlight w:val="none"/>
          <w:lang w:eastAsia="zh-CN"/>
        </w:rPr>
        <w:t xml:space="preserve">阿图什市信访联合接访中心运转项目</w:t>
      </w: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w:t>
      </w:r>
      <w:r>
        <w:rPr>
          <w:rFonts w:ascii="方正小标宋_GBK" w:eastAsia="方正小标宋_GBK" w:hAnsi="黑体" w:cs="仿宋_GB2312" w:hint="eastAsia"/>
          <w:bCs/>
          <w:color w:val="auto"/>
          <w:sz w:val="44"/>
          <w:szCs w:val="44"/>
          <w:highlight w:val="none"/>
          <w:lang w:eastAsia="zh-CN"/>
        </w:rPr>
        <w:t xml:space="preserve">202</w:t>
      </w:r>
      <w:r>
        <w:rPr>
          <w:rFonts w:ascii="方正小标宋_GBK" w:eastAsia="方正小标宋_GBK" w:hAnsi="黑体" w:cs="仿宋_GB2312" w:hint="eastAsia"/>
          <w:bCs/>
          <w:color w:val="auto"/>
          <w:sz w:val="44"/>
          <w:szCs w:val="44"/>
          <w:highlight w:val="none"/>
          <w:lang w:val="en-US" w:eastAsia="zh-CN"/>
        </w:rPr>
        <w:t xml:space="preserve">4</w:t>
      </w:r>
      <w:r>
        <w:rPr>
          <w:rFonts w:ascii="方正小标宋_GBK" w:eastAsia="方正小标宋_GBK" w:hAnsi="黑体" w:cs="仿宋_GB2312" w:hint="eastAsia"/>
          <w:bCs/>
          <w:color w:val="auto"/>
          <w:sz w:val="44"/>
          <w:szCs w:val="44"/>
          <w:highlight w:val="none"/>
        </w:rPr>
        <w:t xml:space="preserve">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项目名称：阿图什市信访联合接访中心运转项目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项目单位：阿图什市信访局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主管部门：阿图什市信访局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lang w:eastAsia="zh-CN"/>
        </w:rPr>
        <w:t xml:space="preserve">202</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10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lang w:eastAsia="zh-CN"/>
        </w:rPr>
      </w:pPr>
      <w:r>
        <w:rPr>
          <w:rFonts w:ascii="方正小标宋_GBK" w:eastAsia="方正小标宋_GBK" w:hAnsi="仿宋_GB2312" w:cs="仿宋_GB2312" w:hint="eastAsia"/>
          <w:bCs/>
          <w:color w:val="auto"/>
          <w:sz w:val="44"/>
          <w:szCs w:val="44"/>
          <w:highlight w:val="none"/>
          <w:lang w:eastAsia="zh-CN"/>
        </w:rPr>
        <w:t xml:space="preserve">阿图什市信访联合接访中心运转项目</w:t>
      </w: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(一)项目背景</w:t>
      </w:r>
    </w:p>
    <w:p>
      <w:pPr>
        <w:snapToGrid w:val="0"/>
        <w:spacing w:line="560" w:lineRule="exact"/>
        <w:ind w:firstLine="800" w:firstLineChars="250"/>
        <w:outlineLvl w:val="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根据《“十四五”时期新疆维吾尔自治区信访工作发展规划》工作要求，及阿图什市信访工作需要，结合阿图什市信访联合接访中心工作职责，按照年度工作计划，开展阿图什市信访联合接访中心运转项目。立项依据</w:t>
      </w:r>
      <w:r>
        <w:rPr>
          <w:rFonts w:ascii="仿宋_GB2312" w:hAnsi="仿宋" w:cs="宋体" w:hint="eastAsia"/>
          <w:color w:val="auto"/>
          <w:sz w:val="32"/>
          <w:szCs w:val="32"/>
          <w:highlight w:val="none"/>
          <w:lang w:eastAsia="zh-CN"/>
        </w:rPr>
        <w:t xml:space="preserve">为</w:t>
      </w:r>
      <w:r>
        <w:rPr>
          <w:rFonts w:ascii="仿宋_GB2312" w:hAnsi="仿宋" w:cs="宋体" w:hint="eastAsia"/>
          <w:color w:val="auto"/>
          <w:sz w:val="32"/>
          <w:szCs w:val="32"/>
          <w:highlight w:val="none"/>
        </w:rPr>
        <w:t xml:space="preserve">《关于印发&lt;“十四五”时期新疆维吾尔自治区信访工作发展规划&gt;重点任务责任分工的通知》(新信联发[2022]4号)《信访工作条例》第十六条:各级党委和政府应当为信访工作提供必要的支持和保障，所需经费列入本级预算。第十八条:市、县级党委和政府应当建立和完善联合接访工作机制，根据工作需要组织有关机关、单位联合接待一站式解决信访问题。</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联合接访中心运转项目预算10万元，主要用于1.办公用品及耗材、纸类3万元（政府采购）；2.参加信访工作会议、学习培训、信访保障工作经费等费用1万元；4.“无访村（社区）”工作经费1万元； 5.计算机、摄像机、照相机、打印机及复印机采购和维修费2万元（政府采购）；6.信访群众服务保障饮水费0.5万元；7.印刷《信访工作条例》及信访法治化工作指南、导引图及其它工作制度等费用1万元；8.信访群众服务期刊费0.5万元；9.办公室场所、卫生场所用品及维修费0.5万元；10.节气慰问基层信访工作人员慰问费0.5万元；通过项目实施，确保我市信访工作顺利开展，有效解决我市信访问题。</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政务服务和公共资源交易中心,实施单位为阿图什市政务服务和公共资源交易中心，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w:t>
      </w:r>
      <w:r>
        <w:rPr>
          <w:rFonts w:ascii="仿宋_GB2312" w:hAnsi="仿宋_GB2312" w:cs="仿宋_GB2312" w:hint="eastAsia"/>
          <w:bCs/>
          <w:color w:val="auto"/>
          <w:sz w:val="32"/>
          <w:szCs w:val="30"/>
          <w:highlight w:val="none"/>
          <w:lang w:eastAsia="zh-CN"/>
        </w:rPr>
        <w:t xml:space="preserve">202</w:t>
      </w:r>
      <w:r>
        <w:rPr>
          <w:rFonts w:ascii="仿宋_GB2312" w:hAnsi="仿宋_GB2312" w:cs="仿宋_GB2312" w:hint="eastAsia"/>
          <w:bCs/>
          <w:color w:val="auto"/>
          <w:sz w:val="32"/>
          <w:szCs w:val="30"/>
          <w:highlight w:val="none"/>
          <w:lang w:val="en-US" w:eastAsia="zh-CN"/>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本项目共计支出9.08万元，用于采购办公用品及耗材及纸类批次2批，参加信访工作会议及学习培训次数2次，办公设备耗材批次4批，印刷《信访工作条例》册数10000册；通过实施本项目确保我市信访工作顺利开展，有效解决我市信访问题。</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10万元</w:t>
      </w:r>
      <w:r>
        <w:rPr>
          <w:rStyle w:val="Strong"/>
          <w:rFonts w:ascii="仿宋_GB2312" w:hAnsi="仿宋_GB2312" w:cs="仿宋_GB2312" w:hint="eastAsia"/>
          <w:b w:val="0"/>
          <w:bCs w:val="0"/>
          <w:color w:val="auto"/>
          <w:spacing w:val="-4"/>
          <w:sz w:val="32"/>
          <w:szCs w:val="30"/>
          <w:highlight w:val="none"/>
        </w:rPr>
        <w:t xml:space="preserve">，资金来源为本级部门预算</w:t>
      </w:r>
      <w:r>
        <w:rPr>
          <w:rStyle w:val="Strong"/>
          <w:rFonts w:ascii="仿宋_GB2312" w:hAnsi="仿宋_GB2312" w:cs="仿宋_GB2312" w:hint="eastAsia"/>
          <w:b w:val="0"/>
          <w:bCs w:val="0"/>
          <w:color w:val="auto"/>
          <w:spacing w:val="-4"/>
          <w:sz w:val="32"/>
          <w:szCs w:val="30"/>
          <w:highlight w:val="none"/>
          <w:lang w:val="en-US" w:eastAsia="zh-CN"/>
        </w:rPr>
        <w:t xml:space="preserve">资金</w:t>
      </w:r>
      <w:r>
        <w:rPr>
          <w:rStyle w:val="Strong"/>
          <w:rFonts w:ascii="仿宋_GB2312" w:hAnsi="仿宋_GB2312" w:cs="仿宋_GB2312" w:hint="eastAsia"/>
          <w:b w:val="0"/>
          <w:bCs w:val="0"/>
          <w:color w:val="auto"/>
          <w:spacing w:val="-4"/>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eastAsia="zh-CN"/>
        </w:rPr>
        <w:t xml:space="preserve">9.08万元</w:t>
      </w:r>
      <w:r>
        <w:rPr>
          <w:rStyle w:val="Strong"/>
          <w:rFonts w:ascii="仿宋_GB2312" w:hAnsi="仿宋_GB2312" w:cs="仿宋_GB2312" w:hint="eastAsia"/>
          <w:b w:val="0"/>
          <w:color w:val="auto"/>
          <w:spacing w:val="-4"/>
          <w:sz w:val="32"/>
          <w:szCs w:val="30"/>
          <w:highlight w:val="none"/>
        </w:rPr>
        <w:t xml:space="preserve">，资金执行率达到</w:t>
      </w:r>
      <w:r>
        <w:rPr>
          <w:rStyle w:val="Strong"/>
          <w:rFonts w:ascii="仿宋_GB2312" w:hAnsi="仿宋_GB2312" w:cs="仿宋_GB2312" w:hint="eastAsia"/>
          <w:b w:val="0"/>
          <w:color w:val="auto"/>
          <w:spacing w:val="-4"/>
          <w:sz w:val="32"/>
          <w:szCs w:val="30"/>
          <w:highlight w:val="none"/>
          <w:lang w:val="en-US" w:eastAsia="zh-CN"/>
        </w:rPr>
        <w:t xml:space="preserve">90.80%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办公用品及耗材、纸类成本3万元；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参加信访工作会议及学习培训费用0.08万元；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印刷宣传品成本1万元；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采购办公设备及业务费用成本5万元。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年度总体目标为：联合接访中心运转项目预算10万元，主要用于1.办公用品及耗材、纸类3万元（政府采购）；2.参加信访工作会议、学习培训、信访保障工作经费等费用1万元；4.“无访村（社区）”工作经费1万元； 5.计算机、摄像机、照相机、打印机及复印机采购和维修费2万元（政府采购）；6.信访群众服务保障饮水费0.5万元；7.印刷《信访工作条例》及信访法治化工作指南、导引图及其它工作制度等费用1万元；8.信访群众服务期刊费0.5万元；9.办公室场所、卫生场所用品及维修费0.5万元；10.节气慰问基层信访工作人员慰问费0.5万元；通过项目实施，确保我市信访工作顺利开展，有效解决我市信访问题。</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阶段性目标为：联合接访中心运转项目预算10万元，主要用于1.办公用品及耗材、纸类3万元（政府采购）；2.参加信访工作会议、学习培训、信访保障工作经费等费用1万元；4.“无访村（社区）”工作经费1万元； 5.计算机、摄像机、照相机、打印机及复印机采购和维修费2万元（政府采购）；6.信访群众服务保障饮水费0.5万元；7.印刷《信访工作条例》及信访法治化工作指南、导引图及其它工作制度等费用1万元；8.信访群众服务期刊费0.5万元；9.办公室场所、卫生场所用品及维修费0.5万元；10.节气慰问基层信访工作人员慰问费0.5万元；通过项目实施，确保我市信访工作顺利开展，有效解决我市信访问题。</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（一）绩效评价目的、对象和范围</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1．绩效评价目的</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本次绩效评价遵循财政部《项目支出绩效评价管理办法》（财预〔</w:t>
      </w:r>
      <w:r>
        <w:rPr>
          <w:rFonts w:ascii="仿宋_GB2312" w:eastAsia="仿宋_GB2312" w:hAnsi="仿宋_GB2312" w:cs="仿宋_GB2312" w:hint="eastAsia"/>
          <w:color w:val="auto"/>
          <w:sz w:val="32"/>
          <w:szCs w:val="32"/>
          <w:highlight w:val="none"/>
          <w:lang w:eastAsia="zh-CN"/>
        </w:rPr>
        <w:t xml:space="preserve">202</w:t>
      </w:r>
      <w:r>
        <w:rPr>
          <w:rFonts w:ascii="仿宋_GB2312" w:eastAsia="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rPr>
        <w:t xml:space="preserve">〕10号）和自治区财政厅</w:t>
      </w:r>
      <w:r>
        <w:rPr>
          <w:rFonts w:ascii="仿宋_GB2312" w:eastAsia="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eastAsia="仿宋_GB2312" w:hAnsi="仿宋_GB2312" w:cs="仿宋_GB2312" w:hint="eastAsia"/>
          <w:color w:val="auto"/>
          <w:sz w:val="32"/>
          <w:szCs w:val="32"/>
          <w:highlight w:val="none"/>
        </w:rPr>
        <w:t xml:space="preserve">等相关政策文件</w:t>
      </w:r>
      <w:r>
        <w:rPr>
          <w:rFonts w:ascii="仿宋_GB2312" w:hAnsi="仿宋_GB2312" w:cs="仿宋_GB2312" w:hint="eastAsia"/>
          <w:color w:val="auto"/>
          <w:sz w:val="32"/>
          <w:szCs w:val="32"/>
          <w:highlight w:val="none"/>
          <w:lang w:eastAsia="zh-CN"/>
        </w:rPr>
        <w:t xml:space="preserve">和</w:t>
      </w:r>
      <w:r>
        <w:rPr>
          <w:rFonts w:ascii="仿宋_GB2312" w:eastAsia="仿宋_GB2312" w:hAnsi="仿宋_GB2312" w:cs="仿宋_GB2312" w:hint="eastAsia"/>
          <w:color w:val="auto"/>
          <w:sz w:val="32"/>
          <w:szCs w:val="32"/>
          <w:highlight w:val="none"/>
        </w:rPr>
        <w:t xml:space="preserve">规定，</w:t>
      </w:r>
      <w:r>
        <w:rPr>
          <w:rFonts w:ascii="仿宋_GB2312" w:eastAsia="仿宋_GB2312" w:hAnsi="仿宋_GB2312" w:cs="仿宋_GB2312" w:hint="eastAsia"/>
          <w:color w:val="auto"/>
          <w:sz w:val="32"/>
          <w:szCs w:val="32"/>
          <w:highlight w:val="none"/>
          <w:lang w:val="en-US" w:eastAsia="zh-CN"/>
        </w:rPr>
        <w:t xml:space="preserve">绩效评价</w:t>
      </w:r>
      <w:r>
        <w:rPr>
          <w:rFonts w:ascii="仿宋_GB2312" w:eastAsia="仿宋_GB2312" w:hAnsi="仿宋_GB2312" w:cs="仿宋_GB2312" w:hint="eastAsia"/>
          <w:color w:val="auto"/>
          <w:sz w:val="32"/>
          <w:szCs w:val="32"/>
          <w:highlight w:val="none"/>
        </w:rPr>
        <w:t xml:space="preserve">旨在评价</w:t>
      </w:r>
      <w:r>
        <w:rPr>
          <w:rFonts w:ascii="仿宋_GB2312" w:eastAsia="仿宋_GB2312" w:hAnsi="仿宋_GB2312" w:cs="仿宋_GB2312" w:hint="eastAsia"/>
          <w:color w:val="auto"/>
          <w:sz w:val="32"/>
          <w:szCs w:val="32"/>
          <w:highlight w:val="none"/>
          <w:lang w:eastAsia="zh-CN"/>
        </w:rPr>
        <w:t xml:space="preserve">本</w:t>
      </w:r>
      <w:r>
        <w:rPr>
          <w:rFonts w:ascii="仿宋_GB2312" w:eastAsia="仿宋_GB2312" w:hAnsi="仿宋_GB2312" w:cs="仿宋_GB2312" w:hint="eastAsia"/>
          <w:color w:val="auto"/>
          <w:sz w:val="32"/>
          <w:szCs w:val="32"/>
          <w:highlight w:val="none"/>
        </w:rPr>
        <w:t xml:space="preserve">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w:t>
      </w:r>
      <w:r>
        <w:rPr>
          <w:rFonts w:ascii="仿宋_GB2312" w:eastAsia="仿宋_GB2312" w:hAnsi="仿宋_GB2312" w:cs="仿宋_GB2312" w:hint="eastAsia"/>
          <w:color w:val="auto"/>
          <w:sz w:val="32"/>
          <w:szCs w:val="32"/>
          <w:highlight w:val="none"/>
          <w:lang w:eastAsia="zh-CN"/>
        </w:rPr>
        <w:t xml:space="preserve">，</w:t>
      </w:r>
      <w:r>
        <w:rPr>
          <w:rFonts w:ascii="仿宋_GB2312" w:eastAsia="仿宋_GB2312" w:hAnsi="仿宋_GB2312" w:cs="仿宋_GB2312" w:hint="eastAsia"/>
          <w:color w:val="auto"/>
          <w:sz w:val="32"/>
          <w:szCs w:val="32"/>
          <w:highlight w:val="none"/>
        </w:rPr>
        <w:t xml:space="preserve">提升财政资金的使用效能。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2024年度交易中心场所维护及招投标设备采购运行维护费项目</w:t>
      </w:r>
      <w:r>
        <w:rPr>
          <w:rFonts w:ascii="仿宋_GB2312" w:hAnsi="仿宋_GB2312" w:cs="仿宋_GB2312" w:hint="eastAsia"/>
          <w:color w:val="auto"/>
          <w:sz w:val="32"/>
          <w:szCs w:val="32"/>
          <w:highlight w:val="none"/>
        </w:rPr>
        <w:t xml:space="preserve">从预算编制合理性、资金使用合规性、项目管理规范性、实施情况、总体绩效目标、各项绩效指标完成情况以及预算执行情况进行科学性评价。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val="0"/>
          <w:color w:val="auto"/>
          <w:sz w:val="32"/>
          <w:highlight w:val="none"/>
        </w:rPr>
      </w:pPr>
      <w:r>
        <w:rPr>
          <w:rFonts w:ascii="楷体" w:eastAsia="楷体" w:hAnsi="楷体" w:cs="仿宋_GB2312" w:hint="eastAsia"/>
          <w:b/>
          <w:bCs w:val="0"/>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（3）激励约束。绩效评价结果应与预算安排、政策调整、改进管理实质性挂钩，体现奖优罚劣和激励导向，有效要安排、低效要压减、无效要问责。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lang w:val="en-US" w:eastAsia="zh-CN"/>
        </w:rPr>
      </w:pPr>
      <w:r>
        <w:rPr>
          <w:rFonts w:ascii="仿宋_GB2312" w:hAnsi="仿宋_GB2312" w:cs="仿宋_GB2312" w:hint="eastAsia"/>
          <w:b/>
          <w:bCs/>
          <w:color w:val="auto"/>
          <w:sz w:val="32"/>
          <w:highlight w:val="none"/>
          <w:lang w:eastAsia="zh-CN"/>
        </w:rPr>
        <w:t xml:space="preserve">2</w:t>
      </w:r>
      <w:r>
        <w:rPr>
          <w:rFonts w:ascii="仿宋_GB2312" w:hAnsi="仿宋_GB2312" w:cs="仿宋_GB2312" w:hint="eastAsia"/>
          <w:b/>
          <w:bCs/>
          <w:color w:val="auto"/>
          <w:sz w:val="32"/>
          <w:highlight w:val="none"/>
        </w:rPr>
        <w:t xml:space="preserve">．</w:t>
      </w:r>
      <w:r>
        <w:rPr>
          <w:rFonts w:ascii="仿宋_GB2312" w:hAnsi="仿宋_GB2312" w:cs="仿宋_GB2312" w:hint="eastAsia"/>
          <w:b/>
          <w:bCs/>
          <w:color w:val="auto"/>
          <w:sz w:val="32"/>
          <w:highlight w:val="none"/>
          <w:lang w:val="en-US" w:eastAsia="zh-CN"/>
        </w:rPr>
        <w:t xml:space="preserve">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eastAsia="zh-CN"/>
        </w:rPr>
      </w:pPr>
      <w:r>
        <w:rPr>
          <w:rFonts w:ascii="仿宋_GB2312" w:hAnsi="仿宋_GB2312" w:cs="仿宋_GB2312" w:hint="eastAsia"/>
          <w:color w:val="auto"/>
          <w:sz w:val="32"/>
          <w:highlight w:val="none"/>
          <w:lang w:val="en-US" w:eastAsia="zh-CN"/>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在对2024年度交易中心场所维护及招投标设备采购运行维护费项目的深入调研基础上，按照《项目支出绩效评价管理办法》（财预〔2021〕10号）对于指标体系的要求和规范，建立一套适合评价2024年度交易中心场所维护及招投标设备采购运行维护费项目的指标体系，从项目决策、项目过程、项目产出和项目绩效四个维度全面考察2024年度交易中心场所维护及招投标设备采购运行维护费项目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 w:hint="eastAsia"/>
          <w:color w:val="auto"/>
          <w:sz w:val="32"/>
          <w:szCs w:val="32"/>
          <w:highlight w:val="none"/>
        </w:rPr>
      </w:pPr>
      <w:r>
        <w:rPr>
          <w:rFonts w:ascii="仿宋_GB2312" w:hAnsi="仿宋_GB2312" w:cs="仿宋_GB2312" w:hint="eastAsia"/>
          <w:b/>
          <w:bCs/>
          <w:color w:val="auto"/>
          <w:sz w:val="32"/>
          <w:highlight w:val="none"/>
          <w:lang w:val="en-US" w:eastAsia="zh-CN"/>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预算编制科学性</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成本效益分析法</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资金使用合规性：文献法、实地勘察法，一是查找资金管理办法，包括专项资金管理办法和单位自有资金管理办法；二是通过查账了解具体开支情况，是否专用专用，是否按照标准支出。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left="0" w:firstLine="640" w:leftChars="0" w:firstLineChars="200"/>
        <w:contextualSpacing/>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绩效评价标准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hAnsi="仿宋_GB2312" w:cs="仿宋_GB2312" w:hint="eastAsia"/>
          <w:color w:val="auto"/>
          <w:sz w:val="32"/>
          <w:szCs w:val="24"/>
          <w:highlight w:val="none"/>
          <w:lang w:val="en-US" w:eastAsia="zh-CN" w:bidi="ar-SA"/>
        </w:rPr>
        <w:t xml:space="preserve">2024年度交易中心场所维护及招投标设备采购运行维护费项目</w:t>
      </w:r>
      <w:r>
        <w:rPr>
          <w:rFonts w:ascii="仿宋_GB2312" w:eastAsia="仿宋_GB2312" w:hAnsi="仿宋_GB2312" w:cs="仿宋_GB2312" w:hint="eastAsia"/>
          <w:color w:val="auto"/>
          <w:sz w:val="32"/>
          <w:szCs w:val="24"/>
          <w:highlight w:val="none"/>
          <w:lang w:val="en-US" w:eastAsia="zh-CN" w:bidi="ar-SA"/>
        </w:rPr>
        <w:t xml:space="preserve">属于延续项目，</w:t>
      </w:r>
      <w:r>
        <w:rPr>
          <w:rFonts w:ascii="仿宋_GB2312" w:eastAsia="仿宋_GB2312" w:hAnsi="仿宋_GB2312" w:cs="仿宋_GB2312" w:hint="eastAsia"/>
          <w:b w:val="0"/>
          <w:bCs/>
          <w:color w:val="auto"/>
          <w:sz w:val="32"/>
          <w:szCs w:val="24"/>
          <w:highlight w:val="none"/>
          <w:lang w:val="en-US" w:eastAsia="zh-CN" w:bidi="ar-SA"/>
        </w:rPr>
        <w:t xml:space="preserve">有</w:t>
      </w:r>
      <w:r>
        <w:rPr>
          <w:rFonts w:ascii="仿宋_GB2312" w:eastAsia="仿宋_GB2312" w:hAnsi="仿宋_GB2312" w:cs="仿宋_GB2312" w:hint="eastAsia"/>
          <w:color w:val="auto"/>
          <w:sz w:val="32"/>
          <w:szCs w:val="24"/>
          <w:highlight w:val="none"/>
          <w:lang w:val="en-US" w:eastAsia="zh-CN" w:bidi="ar-SA"/>
        </w:rPr>
        <w:t xml:space="preserve">相应的行业标准和历史标准，故采用</w:t>
      </w:r>
      <w:r>
        <w:rPr>
          <w:rFonts w:ascii="仿宋_GB2312" w:eastAsia="仿宋_GB2312" w:hint="eastAsia"/>
          <w:color w:val="auto"/>
          <w:sz w:val="32"/>
          <w:highlight w:val="none"/>
        </w:rPr>
        <w:t xml:space="preserve">计划标准、行业标准、历史标准</w:t>
      </w:r>
      <w:r>
        <w:rPr>
          <w:rFonts w:ascii="仿宋_GB2312" w:eastAsia="仿宋_GB2312" w:hAnsi="仿宋_GB2312" w:cs="仿宋_GB2312" w:hint="eastAsia"/>
          <w:color w:val="auto"/>
          <w:sz w:val="32"/>
          <w:szCs w:val="24"/>
          <w:highlight w:val="none"/>
          <w:lang w:val="en-US" w:eastAsia="zh-CN" w:bidi="ar-SA"/>
        </w:rPr>
        <w:t xml:space="preserve">评价该项目。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firstLineChars="200"/>
        <w:contextualSpacing/>
        <w:textAlignment w:val="auto"/>
        <w:rPr>
          <w:rFonts w:ascii="楷体" w:eastAsia="楷体" w:hAnsi="楷体" w:cs="仿宋_GB2312" w:hint="eastAsia"/>
          <w:b/>
          <w:bCs/>
          <w:color w:val="auto"/>
          <w:sz w:val="32"/>
          <w:szCs w:val="24"/>
          <w:highlight w:val="none"/>
          <w:lang w:val="en-US" w:eastAsia="zh-CN" w:bidi="ar-SA"/>
        </w:rPr>
      </w:pPr>
      <w:r>
        <w:rPr>
          <w:rFonts w:ascii="楷体" w:eastAsia="楷体" w:hAnsi="楷体" w:cs="仿宋_GB2312" w:hint="eastAsia"/>
          <w:b/>
          <w:bCs/>
          <w:color w:val="auto"/>
          <w:sz w:val="32"/>
          <w:szCs w:val="24"/>
          <w:highlight w:val="none"/>
          <w:lang w:val="en-US" w:eastAsia="zh-CN" w:bidi="ar-SA"/>
        </w:rPr>
        <w:t xml:space="preserve">（三）绩效评价工作过程。</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left="600" w:leftChars="200"/>
        <w:contextualSpacing/>
        <w:textAlignment w:val="auto"/>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1．前期准备</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务</w:t>
            </w:r>
          </w:p>
        </w:tc>
        <w:tc>
          <w:tcPr>
            <w:tcW w:w="3901"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吐逊江买买提</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李宁</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热依汗古丽</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2024年度交易中心场所维护及招投标设备采购运行维护费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2025年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组织管理、产出与效益效果。在此基础上，以相关的项目数据为基础，综合运用不同的评价方法，结合评价标准和评分规则，2024年度交易中心场所维护及招投标设备采购运行维护费项目综合得分为95.79分，</w:t>
      </w:r>
      <w:r>
        <w:rPr>
          <w:rFonts w:ascii="仿宋_GB2312" w:eastAsia="仿宋_GB2312" w:hAnsi="Cambria" w:hint="eastAsia"/>
          <w:color w:val="auto"/>
          <w:sz w:val="32"/>
          <w:szCs w:val="32"/>
          <w:highlight w:val="none"/>
        </w:rPr>
        <w:t xml:space="preserve">评价结果为优。</w:t>
      </w:r>
    </w:p>
    <w:p>
      <w:pPr>
        <w:pStyle w:val="Bodytext|1"/>
        <w:spacing w:line="560" w:lineRule="exact"/>
        <w:ind w:firstLine="582" w:firstLineChars="182"/>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2024年度交易中心场所维护及招投标设备采购运行维护费项目评价得分情况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16.54</w:t>
            </w:r>
          </w:p>
        </w:tc>
        <w:tc>
          <w:tcPr>
            <w:tcW w:w="3866" w:type="dxa"/>
            <w:tcBorders>
              <w:top w:val="single" w:sz="4" w:space="0" w:color="auto"/>
              <w:left w:val="single" w:sz="4" w:space="0" w:color="auto"/>
              <w:right w:val="single" w:sz="4" w:space="0" w:color="auto"/>
            </w:tcBorders>
            <w:noWrap w:val="0"/>
            <w:vAlign w:val="bottom"/>
          </w:tcPr>
          <w:p>
            <w:pPr>
              <w:pStyle w:val="Other|1"/>
              <w:spacing w:line="560" w:lineRule="exact"/>
              <w:ind w:firstLine="0"/>
              <w:jc w:val="left"/>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项目预算执行率90.80%</w:t>
            </w: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26.25</w:t>
            </w:r>
          </w:p>
        </w:tc>
        <w:tc>
          <w:tcPr>
            <w:tcW w:w="3866" w:type="dxa"/>
            <w:tcBorders>
              <w:top w:val="single" w:sz="4" w:space="0" w:color="auto"/>
              <w:left w:val="single" w:sz="4" w:space="0" w:color="auto"/>
              <w:right w:val="single" w:sz="4" w:space="0" w:color="auto"/>
            </w:tcBorders>
            <w:noWrap w:val="0"/>
            <w:vAlign w:val="center"/>
          </w:tcPr>
          <w:p>
            <w:pPr>
              <w:pStyle w:val="Other|1"/>
              <w:spacing w:line="560" w:lineRule="exact"/>
              <w:ind w:firstLine="0"/>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未完成指标数量2个</w:t>
            </w: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hAnsi="仿宋_GB2312" w:cs="仿宋_GB2312" w:hint="eastAsia"/>
                <w:color w:val="auto"/>
                <w:sz w:val="32"/>
                <w:szCs w:val="32"/>
                <w:highlight w:val="none"/>
                <w:lang w:eastAsia="zh-CN"/>
              </w:rPr>
              <w:t xml:space="preserve">95.79</w:t>
            </w:r>
          </w:p>
        </w:tc>
        <w:tc>
          <w:tcPr>
            <w:tcW w:w="3866" w:type="dxa"/>
            <w:tcBorders>
              <w:top w:val="single" w:sz="4" w:space="0" w:color="auto"/>
              <w:left w:val="single" w:sz="4" w:space="0" w:color="auto"/>
              <w:bottom w:val="single" w:sz="4" w:space="0" w:color="auto"/>
              <w:right w:val="single" w:sz="4" w:space="0" w:color="auto"/>
            </w:tcBorders>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2024年度交易中心场所维护及招投标设备采购运行维护费项目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项目共计支出9.08万元，用于采购办公用品及耗材及纸类批次2批，参加信访工作会议及学习培训次数2次，办公设备耗材批次4批，印刷《信访工作条例》册数10000册；通过实施本项目确保我市信访工作顺利开展，有效解决我市信访问题。</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val="en-US" w:eastAsia="zh-CN" w:bidi="ar-SA"/>
        </w:rPr>
        <w:t xml:space="preserve">2024年度交易中心场所维护及招投标设备采购运行维护费项目</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eastAsia="zh-CN"/>
        </w:rPr>
        <w:t xml:space="preserve">9.08万元</w:t>
      </w:r>
      <w:r>
        <w:rPr>
          <w:rFonts w:ascii="仿宋_GB2312" w:hAnsi="仿宋_GB2312" w:cs="仿宋_GB2312" w:hint="eastAsia"/>
          <w:color w:val="auto"/>
          <w:sz w:val="32"/>
          <w:szCs w:val="32"/>
          <w:highlight w:val="none"/>
        </w:rPr>
        <w:t xml:space="preserve">，评价得分值</w:t>
      </w:r>
      <w:r>
        <w:rPr>
          <w:rFonts w:ascii="仿宋_GB2312" w:hAnsi="仿宋_GB2312" w:cs="仿宋_GB2312" w:hint="eastAsia"/>
          <w:color w:val="auto"/>
          <w:sz w:val="32"/>
          <w:szCs w:val="32"/>
          <w:highlight w:val="none"/>
          <w:lang w:eastAsia="zh-CN"/>
        </w:rPr>
        <w:t xml:space="preserve">95.79</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w:t>
      </w:r>
      <w:r>
        <w:rPr>
          <w:rFonts w:ascii="仿宋_GB2312" w:hAnsi="仿宋" w:cs="宋体" w:hint="eastAsia"/>
          <w:color w:val="auto"/>
          <w:sz w:val="32"/>
          <w:szCs w:val="32"/>
          <w:highlight w:val="none"/>
          <w:lang w:val="en-US" w:eastAsia="zh-CN"/>
        </w:rPr>
        <w:t xml:space="preserve">严格</w:t>
      </w:r>
      <w:r>
        <w:rPr>
          <w:rFonts w:ascii="仿宋_GB2312" w:hAnsi="仿宋" w:cs="宋体" w:hint="eastAsia"/>
          <w:color w:val="auto"/>
          <w:sz w:val="32"/>
          <w:szCs w:val="32"/>
          <w:highlight w:val="none"/>
        </w:rPr>
        <w:t xml:space="preserve">按照规定的程序申请设立；审批文件、材料符合相关要求；项目前期已经过必要的可行性研究、风险评估、绩效评估、集体决策。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w:t>
      </w:r>
      <w:r>
        <w:rPr>
          <w:rFonts w:ascii="仿宋_GB2312" w:hAnsi="仿宋" w:cs="宋体" w:hint="eastAsia"/>
          <w:color w:val="auto"/>
          <w:sz w:val="32"/>
          <w:szCs w:val="32"/>
          <w:highlight w:val="none"/>
          <w:lang w:val="en-US" w:eastAsia="zh-CN"/>
        </w:rPr>
        <w:t xml:space="preserve">绩效目标</w:t>
      </w:r>
      <w:r>
        <w:rPr>
          <w:rFonts w:ascii="仿宋_GB2312" w:hAnsi="仿宋" w:cs="宋体" w:hint="eastAsia"/>
          <w:color w:val="auto"/>
          <w:sz w:val="32"/>
          <w:szCs w:val="32"/>
          <w:highlight w:val="none"/>
        </w:rPr>
        <w:t xml:space="preserve">与实际工作内容相关；项目预期产出效益和效果符合正常的业绩水平；</w:t>
      </w:r>
      <w:r>
        <w:rPr>
          <w:rFonts w:ascii="仿宋_GB2312" w:hAnsi="仿宋" w:cs="宋体" w:hint="eastAsia"/>
          <w:color w:val="auto"/>
          <w:sz w:val="32"/>
          <w:szCs w:val="32"/>
          <w:highlight w:val="none"/>
          <w:lang w:val="en-US" w:eastAsia="zh-CN"/>
        </w:rPr>
        <w:t xml:space="preserve">目标设置</w:t>
      </w:r>
      <w:r>
        <w:rPr>
          <w:rFonts w:ascii="仿宋_GB2312" w:hAnsi="仿宋" w:cs="宋体" w:hint="eastAsia"/>
          <w:color w:val="auto"/>
          <w:sz w:val="32"/>
          <w:szCs w:val="32"/>
          <w:highlight w:val="none"/>
        </w:rPr>
        <w:t xml:space="preserve">与预算确定的项目投资额或资金量相匹配。</w:t>
      </w:r>
      <w:r>
        <w:rPr>
          <w:rFonts w:ascii="仿宋_GB2312" w:hAnsi="仿宋" w:cs="宋体" w:hint="eastAsia"/>
          <w:color w:val="auto"/>
          <w:sz w:val="32"/>
          <w:szCs w:val="32"/>
          <w:highlight w:val="none"/>
          <w:lang w:val="en-US" w:eastAsia="zh-CN"/>
        </w:rPr>
        <w:t xml:space="preserve">严格按照要求</w:t>
      </w:r>
      <w:r>
        <w:rPr>
          <w:rFonts w:ascii="仿宋_GB2312" w:hAnsi="仿宋" w:cs="宋体" w:hint="eastAsia"/>
          <w:color w:val="auto"/>
          <w:sz w:val="32"/>
          <w:szCs w:val="32"/>
          <w:highlight w:val="none"/>
        </w:rPr>
        <w:t xml:space="preserve">将项目绩效目标细化分解为具体的绩效指标</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eastAsia="zh-CN"/>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仿宋_GB2312" w:hAnsi="仿宋" w:cs="宋体" w:hint="eastAsia"/>
          <w:color w:val="auto"/>
          <w:sz w:val="32"/>
          <w:szCs w:val="32"/>
          <w:highlight w:val="none"/>
          <w:lang w:eastAsia="zh-CN"/>
        </w:rPr>
        <w:t xml:space="preserve">。</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及时支付，资金使用符合国家法规和财务管理制度；资金拨付有完整的审批程序和手续，符合项目预算批复或合同规定的用途；</w:t>
      </w:r>
      <w:r>
        <w:rPr>
          <w:rFonts w:ascii="仿宋_GB2312" w:hAnsi="仿宋" w:cs="宋体" w:hint="eastAsia"/>
          <w:color w:val="auto"/>
          <w:sz w:val="32"/>
          <w:szCs w:val="32"/>
          <w:highlight w:val="none"/>
          <w:lang w:val="en-US" w:eastAsia="zh-CN"/>
        </w:rPr>
        <w:t xml:space="preserve">不</w:t>
      </w:r>
      <w:r>
        <w:rPr>
          <w:rFonts w:ascii="仿宋_GB2312" w:hAnsi="仿宋" w:cs="宋体" w:hint="eastAsia"/>
          <w:color w:val="auto"/>
          <w:sz w:val="32"/>
          <w:szCs w:val="32"/>
          <w:highlight w:val="none"/>
        </w:rPr>
        <w:t xml:space="preserve">存在截留、挤占、挪用、虚列支出等情况。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5年</w:t>
      </w:r>
      <w:r>
        <w:rPr>
          <w:rFonts w:ascii="仿宋_GB2312" w:hAnsi="仿宋_GB2312" w:cs="仿宋_GB2312" w:hint="eastAsia"/>
          <w:color w:val="auto"/>
          <w:sz w:val="32"/>
          <w:szCs w:val="32"/>
          <w:highlight w:val="none"/>
          <w:lang w:eastAsia="zh-CN"/>
        </w:rPr>
        <w:t xml:space="preserve">度交易中心场所维护及招投标设备采购运行维护费项目</w:t>
      </w:r>
      <w:r>
        <w:rPr>
          <w:rFonts w:ascii="仿宋_GB2312" w:hAnsi="仿宋_GB2312" w:cs="仿宋_GB2312" w:hint="eastAsia"/>
          <w:color w:val="auto"/>
          <w:sz w:val="32"/>
          <w:szCs w:val="32"/>
          <w:highlight w:val="none"/>
        </w:rPr>
        <w:t xml:space="preserve">预算依据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2024年度交易中心场所维护及招投标设备采购运行维护费项目</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w:t>
      </w:r>
      <w:r>
        <w:rPr>
          <w:rFonts w:ascii="仿宋_GB2312" w:hAnsi="仿宋_GB2312" w:cs="仿宋_GB2312" w:hint="eastAsia"/>
          <w:color w:val="auto"/>
          <w:sz w:val="32"/>
          <w:szCs w:val="32"/>
          <w:highlight w:val="none"/>
          <w:lang w:val="en-US" w:eastAsia="zh-CN"/>
        </w:rPr>
        <w:t xml:space="preserve">阿图什市</w:t>
      </w:r>
      <w:r>
        <w:rPr>
          <w:rFonts w:ascii="仿宋_GB2312" w:hAnsi="仿宋_GB2312" w:cs="仿宋_GB2312" w:hint="eastAsia"/>
          <w:color w:val="auto"/>
          <w:sz w:val="32"/>
          <w:szCs w:val="32"/>
          <w:highlight w:val="none"/>
        </w:rPr>
        <w:t xml:space="preserve">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2024年度交易中心场所维护及招投标设备采购运行维护费项目</w:t>
      </w:r>
      <w:r>
        <w:rPr>
          <w:rFonts w:ascii="仿宋_GB2312" w:hAnsi="仿宋_GB2312" w:cs="仿宋_GB2312" w:hint="eastAsia"/>
          <w:color w:val="auto"/>
          <w:sz w:val="32"/>
          <w:szCs w:val="32"/>
          <w:highlight w:val="none"/>
        </w:rPr>
        <w:t xml:space="preserve">组织形式，明确了该项目经费的开支范围为办公用品及耗材、纸类政府采购；参加信访工作会议、学习培训、信访保障工作经费等费用；“无访村（社区）”工作经费</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计算机、摄像机、照相机、打印机及复印机采购和维修费；信访群众服务保障饮水费；印刷《信访工作条例》及信访法治化工作指南、导引图及其它工作制度等费用；信访群众服务期刊费；办公室场所、卫生场所用品及维修费；节气慰问基层信访工作人员慰问费，严格做到专款专用，责任到人。在资金使用环节，严格遵守相关规定，严格按照我局资金财务审批流程办理款项支付。在会计核算环节，对本项目资金实际单独核算，确保</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年初财政批复的</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（4）严格按照政府采购制度规范实施政府采购。对于需要实施政府采购的活动，严格实施、履行采购手续，根据2024年度交易中心场所维护及招投标设备采购运行维护费项目</w:t>
      </w:r>
      <w:r>
        <w:rPr>
          <w:rFonts w:ascii="仿宋_GB2312" w:hAnsi="仿宋_GB2312" w:cs="仿宋_GB2312" w:hint="eastAsia"/>
          <w:color w:val="auto"/>
          <w:sz w:val="32"/>
          <w:szCs w:val="32"/>
          <w:highlight w:val="none"/>
          <w:lang w:val="en-US" w:eastAsia="zh-CN"/>
        </w:rPr>
        <w:t xml:space="preserve">的采购</w:t>
      </w:r>
      <w:r>
        <w:rPr>
          <w:rFonts w:ascii="仿宋_GB2312" w:hAnsi="仿宋_GB2312" w:cs="仿宋_GB2312" w:hint="eastAsia"/>
          <w:color w:val="auto"/>
          <w:sz w:val="32"/>
          <w:szCs w:val="32"/>
          <w:highlight w:val="none"/>
        </w:rPr>
        <w:t xml:space="preserve">需求，选择合规可行的采购形式，将采购政策、采购程序、采购过程规范化、透明化，提升</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专项资金的使用效果。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（5）依照财政资金管理制度，按照不定期检查与项目周期检查相结合的方式，对</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资金的使用情况进行监督检查。重点督查专项资金的使用进度，资金落实情况，对发现的问题，采取措施及时纠正、强化管理，有效杜绝了</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资金在分配使用过程中的违纪违规现象的发生，确保</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2024年度交易中心场所维护及招投标设备采购运行维护费项目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（三）项目产出情况</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数量指标为采购办公用品及耗材及纸类批次，预期指标值为大于等于2批，实际完成值为2批，指标达到预期目标。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数量指标为参加信访工作会议及学习培训次数，预期指标值为大于等于6次，实际完成值为2次，指标</w:t>
      </w:r>
      <w:r>
        <w:rPr>
          <w:rFonts w:ascii="仿宋_GB2312" w:hAnsi="仿宋_GB2312" w:cs="仿宋_GB2312" w:hint="eastAsia"/>
          <w:color w:val="auto"/>
          <w:sz w:val="32"/>
          <w:szCs w:val="32"/>
          <w:highlight w:val="none"/>
          <w:lang w:val="en-US" w:eastAsia="zh-CN"/>
        </w:rPr>
        <w:t xml:space="preserve">未</w:t>
      </w:r>
      <w:r>
        <w:rPr>
          <w:rFonts w:ascii="仿宋_GB2312" w:hAnsi="仿宋_GB2312" w:cs="仿宋_GB2312" w:hint="eastAsia"/>
          <w:color w:val="auto"/>
          <w:sz w:val="32"/>
          <w:szCs w:val="32"/>
          <w:highlight w:val="none"/>
        </w:rPr>
        <w:t xml:space="preserve">达到预期目标。原因：项目年初预算指标不够精准，导致指标存在偏差；措施：下一年度做好计划及项目管理，减少实施过程中的偏差；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数量指标为办公设备耗材批次，预期指标值为大于等于4批，实际完成值为4批，指标达到预期目标。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数量指标为印刷《信访工作条例》册数，预期指标值为大于等于10000册，实际完成值为10000册，指标达到预期目标。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2．</w:t>
      </w:r>
      <w:r>
        <w:rPr>
          <w:rFonts w:ascii="仿宋_GB2312" w:hint="eastAsia"/>
          <w:b/>
          <w:bCs w:val="0"/>
          <w:color w:val="auto"/>
          <w:sz w:val="32"/>
          <w:szCs w:val="32"/>
          <w:highlight w:val="none"/>
        </w:rPr>
        <w:t xml:space="preserve">质量指标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质量指标为日常业务工作开展率，预期指标值为等于100%，实际完成值为100%，指标达到预期目标。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3．</w:t>
      </w:r>
      <w:r>
        <w:rPr>
          <w:rFonts w:ascii="仿宋_GB2312" w:hint="eastAsia"/>
          <w:b/>
          <w:color w:val="auto"/>
          <w:sz w:val="32"/>
          <w:szCs w:val="32"/>
          <w:highlight w:val="none"/>
        </w:rPr>
        <w:t xml:space="preserve">时效指标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时效指标为项目完成时间，预期指标值为2024年12月，实际完成值为2024年12月，指标达到预期目标。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firstLine="640" w:leftChars="200" w:firstLineChars="200"/>
        <w:jc w:val="both"/>
        <w:textAlignment w:val="auto"/>
        <w:rPr>
          <w:rFonts w:ascii="仿宋_GB2312"/>
          <w:color w:val="auto"/>
          <w:sz w:val="32"/>
          <w:szCs w:val="32"/>
          <w:highlight w:val="none"/>
        </w:rPr>
      </w:pPr>
    </w:p>
    <w:p>
      <w:pPr>
        <w:keepNext w:val="0"/>
        <w:keepLines w:val="0"/>
        <w:pageBreakBefore w:val="0"/>
        <w:widowControl w:val="0"/>
        <w:kinsoku/>
        <w:wordWrap/>
        <w:overflowPunct/>
        <w:topLinePunct w:val="0"/>
        <w:autoSpaceDE/>
        <w:bidi w:val="0"/>
        <w:spacing w:line="560" w:lineRule="exact"/>
        <w:ind w:firstLine="640" w:firstLineChars="200"/>
        <w:jc w:val="both"/>
        <w:textAlignment w:val="auto"/>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经济成本指标为办公用品及耗材、纸类成本，预期指标值为</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3万元，实际完成值为3万元，指标达到预期目标。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经济成本指标为参加信访工作会议及学习培训费用，预期指标值为</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1万元，实际完成值为0.08万元，指标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达到预期目标。原因：根据实际产生的费用进行支出，因此指标完成情况存在偏差；措施：下一年度做好项目管理，提高工作执行进度，减少偏差。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经济成本指标为印刷宣传品成本，预期指标值为</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1万元，实际完成值为1万元，指标达到预期目标。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经济成本指标为采购办公设备及业务费用成本，预期指标值为</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5万元，实际完成值为5万元，指标达到预期目标。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楷体" w:eastAsia="楷体" w:hAnsi="楷体" w:cs="宋体"/>
          <w:b/>
          <w:bCs w:val="0"/>
          <w:color w:val="auto"/>
          <w:sz w:val="32"/>
          <w:szCs w:val="32"/>
          <w:highlight w:val="none"/>
        </w:rPr>
      </w:pPr>
      <w:r>
        <w:rPr>
          <w:rFonts w:ascii="楷体" w:eastAsia="楷体" w:hAnsi="楷体" w:cs="宋体" w:hint="eastAsia"/>
          <w:b/>
          <w:bCs w:val="0"/>
          <w:color w:val="auto"/>
          <w:sz w:val="32"/>
          <w:szCs w:val="32"/>
          <w:highlight w:val="none"/>
        </w:rPr>
        <w:t xml:space="preserve">（四）项目效益情况</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Ansi="仿宋" w:cs="宋体" w:hint="eastAsia"/>
          <w:bCs/>
          <w:color w:val="auto"/>
          <w:sz w:val="32"/>
          <w:szCs w:val="32"/>
          <w:highlight w:val="none"/>
          <w:lang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bCs/>
          <w:color w:val="auto"/>
          <w:sz w:val="32"/>
          <w:szCs w:val="32"/>
          <w:highlight w:val="none"/>
        </w:rPr>
      </w:pPr>
      <w:r>
        <w:rPr>
          <w:rFonts w:ascii="仿宋_GB2312" w:hAnsi="仿宋" w:cs="宋体" w:hint="eastAsia"/>
          <w:bCs/>
          <w:color w:val="auto"/>
          <w:sz w:val="32"/>
          <w:szCs w:val="32"/>
          <w:highlight w:val="none"/>
        </w:rPr>
        <w:t xml:space="preserve">社会效益指标为保障各项工作正常开展，预期指标值为有效保障，实际完成值为有效保障，指标达到预期目标。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Ansi="仿宋" w:cs="宋体" w:hint="default"/>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4．满意度指标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满意度指标为信访人员满意度，预期指标值为小于等于95%，</w:t>
      </w:r>
      <w:r>
        <w:rPr>
          <w:rFonts w:ascii="仿宋_GB2312" w:hAnsi="仿宋" w:cs="宋体" w:hint="eastAsia"/>
          <w:bCs/>
          <w:color w:val="auto"/>
          <w:sz w:val="32"/>
          <w:szCs w:val="32"/>
          <w:highlight w:val="none"/>
        </w:rPr>
        <w:t xml:space="preserve">经问卷调查，</w:t>
      </w:r>
      <w:r>
        <w:rPr>
          <w:rFonts w:ascii="仿宋_GB2312" w:hAnsi="仿宋" w:cs="宋体" w:hint="eastAsia"/>
          <w:bCs/>
          <w:color w:val="auto"/>
          <w:sz w:val="32"/>
          <w:szCs w:val="32"/>
          <w:highlight w:val="none"/>
        </w:rPr>
        <w:t xml:space="preserve">实际完成值为</w:t>
      </w:r>
      <w:r>
        <w:rPr>
          <w:rFonts w:ascii="仿宋_GB2312" w:hAnsi="仿宋" w:cs="宋体" w:hint="eastAsia"/>
          <w:bCs/>
          <w:color w:val="auto"/>
          <w:sz w:val="32"/>
          <w:szCs w:val="32"/>
          <w:highlight w:val="none"/>
        </w:rPr>
        <w:t xml:space="preserve">95%</w:t>
      </w:r>
      <w:r>
        <w:rPr>
          <w:rFonts w:ascii="仿宋_GB2312" w:hAnsi="仿宋" w:cs="宋体" w:hint="eastAsia"/>
          <w:bCs/>
          <w:color w:val="auto"/>
          <w:sz w:val="32"/>
          <w:szCs w:val="32"/>
          <w:highlight w:val="none"/>
        </w:rPr>
        <w:t xml:space="preserve">，指标达到预期目标。</w:t>
      </w:r>
    </w:p>
    <w:p>
      <w:pPr>
        <w:pStyle w:val="Heading4"/>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黑体" w:eastAsia="黑体" w:hAnsi="黑体" w:cs="仿宋_GB2312" w:hint="eastAsia"/>
          <w:b w:val="0"/>
          <w:bCs w:val="0"/>
          <w:color w:val="auto"/>
          <w:kern w:val="2"/>
          <w:sz w:val="32"/>
          <w:szCs w:val="32"/>
          <w:highlight w:val="none"/>
          <w:lang w:val="en-US" w:eastAsia="zh-CN" w:bidi="ar-SA"/>
        </w:rPr>
      </w:pPr>
      <w:r>
        <w:rPr>
          <w:rFonts w:ascii="黑体" w:eastAsia="黑体" w:hAnsi="黑体" w:cs="仿宋_GB2312" w:hint="default"/>
          <w:b w:val="0"/>
          <w:bCs w:val="0"/>
          <w:color w:val="auto"/>
          <w:kern w:val="2"/>
          <w:sz w:val="32"/>
          <w:szCs w:val="32"/>
          <w:highlight w:val="none"/>
          <w:lang w:val="en-US" w:eastAsia="zh-CN" w:bidi="ar-SA"/>
        </w:rPr>
        <w:t xml:space="preserve">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本项目实施效果较好的原因主要是管理制度完善、责任落实到位，跟踪考核机制完善且运行有效，在项目实施过程中创新管理办法，采用成本效益分析法、比较法、最低成本法使项目取得了良好的效果。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olor w:val="auto"/>
          <w:sz w:val="32"/>
          <w:highlight w:val="none"/>
          <w:lang w:val="en-US" w:eastAsia="zh-CN"/>
        </w:rPr>
      </w:pPr>
      <w:r>
        <w:rPr>
          <w:rFonts w:hint="eastAsia"/>
          <w:color w:val="auto"/>
          <w:sz w:val="32"/>
          <w:highlight w:val="none"/>
        </w:rPr>
        <w:t xml:space="preserve">本项目全年预算数</w:t>
      </w:r>
      <w:r>
        <w:rPr>
          <w:rFonts w:hint="eastAsia"/>
          <w:color w:val="auto"/>
          <w:sz w:val="32"/>
          <w:highlight w:val="none"/>
          <w:lang w:eastAsia="zh-CN"/>
        </w:rPr>
        <w:t xml:space="preserve">10万元</w:t>
      </w:r>
      <w:r>
        <w:rPr>
          <w:rFonts w:hint="eastAsia"/>
          <w:color w:val="auto"/>
          <w:sz w:val="32"/>
          <w:highlight w:val="none"/>
        </w:rPr>
        <w:t xml:space="preserve">，执行数</w:t>
      </w:r>
      <w:r>
        <w:rPr>
          <w:rFonts w:hint="eastAsia"/>
          <w:color w:val="auto"/>
          <w:sz w:val="32"/>
          <w:highlight w:val="none"/>
          <w:lang w:eastAsia="zh-CN"/>
        </w:rPr>
        <w:t xml:space="preserve">9.08万元</w:t>
      </w:r>
      <w:r>
        <w:rPr>
          <w:rFonts w:hint="eastAsia"/>
          <w:color w:val="auto"/>
          <w:sz w:val="32"/>
          <w:highlight w:val="none"/>
        </w:rPr>
        <w:t xml:space="preserve">，执行率</w:t>
      </w:r>
      <w:r>
        <w:rPr>
          <w:rFonts w:hint="eastAsia"/>
          <w:color w:val="auto"/>
          <w:sz w:val="32"/>
          <w:highlight w:val="none"/>
          <w:lang w:eastAsia="zh-CN"/>
        </w:rPr>
        <w:t xml:space="preserve">90.80%</w:t>
      </w:r>
      <w:r>
        <w:rPr>
          <w:rFonts w:hint="eastAsia"/>
          <w:color w:val="auto"/>
          <w:sz w:val="32"/>
          <w:highlight w:val="none"/>
        </w:rPr>
        <w:t xml:space="preserve">，绩效指标完成率</w:t>
      </w:r>
      <w:r>
        <w:rPr>
          <w:rFonts w:hint="eastAsia"/>
          <w:color w:val="auto"/>
          <w:sz w:val="32"/>
          <w:highlight w:val="none"/>
          <w:lang w:val="en-US" w:eastAsia="zh-CN"/>
        </w:rPr>
        <w:t xml:space="preserve">86.78%</w:t>
      </w:r>
      <w:r>
        <w:rPr>
          <w:rFonts w:hint="eastAsia"/>
          <w:color w:val="auto"/>
          <w:sz w:val="32"/>
          <w:highlight w:val="none"/>
        </w:rPr>
        <w:t xml:space="preserve">，偏差率</w:t>
      </w:r>
      <w:r>
        <w:rPr>
          <w:rFonts w:hint="eastAsia"/>
          <w:color w:val="auto"/>
          <w:sz w:val="32"/>
          <w:highlight w:val="none"/>
          <w:lang w:val="en-US" w:eastAsia="zh-CN"/>
        </w:rPr>
        <w:t xml:space="preserve">4.02</w:t>
      </w:r>
      <w:r>
        <w:rPr>
          <w:rFonts w:hint="eastAsia"/>
          <w:color w:val="auto"/>
          <w:sz w:val="32"/>
          <w:highlight w:val="none"/>
        </w:rPr>
        <w:t xml:space="preserve">%。偏差原因：</w:t>
      </w:r>
      <w:r>
        <w:rPr>
          <w:rFonts w:hint="eastAsia"/>
          <w:color w:val="auto"/>
          <w:sz w:val="32"/>
          <w:highlight w:val="none"/>
          <w:lang w:val="en-US" w:eastAsia="zh-CN"/>
        </w:rPr>
        <w:t xml:space="preserve">根据实际产生的费用进行支出，因此指标完成情况存在偏差；项目年初预算指标不够精准，导致指标存在偏差。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olor w:val="auto"/>
          <w:sz w:val="32"/>
          <w:highlight w:val="none"/>
          <w:lang w:val="en-US" w:eastAsia="zh-CN"/>
        </w:rPr>
      </w:pPr>
      <w:r>
        <w:rPr>
          <w:rFonts w:hint="eastAsia"/>
          <w:color w:val="auto"/>
          <w:sz w:val="32"/>
          <w:highlight w:val="none"/>
          <w:lang w:val="en-US" w:eastAsia="zh-CN"/>
        </w:rPr>
        <w:t xml:space="preserve">数量指标“参加信访工作会议及学习培训次数”指标未达到预期目标的原因为：项目年初预算指标不够精准，导致指标存在偏差；下一步措施是下一年度将做好计划及项目管理，减少实施过程中的偏差；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color w:val="auto"/>
          <w:sz w:val="36"/>
          <w:szCs w:val="32"/>
          <w:highlight w:val="none"/>
        </w:rPr>
      </w:pPr>
      <w:r>
        <w:rPr>
          <w:rFonts w:hint="eastAsia"/>
          <w:color w:val="auto"/>
          <w:sz w:val="32"/>
          <w:highlight w:val="none"/>
          <w:lang w:val="en-US" w:eastAsia="zh-CN"/>
        </w:rPr>
        <w:t xml:space="preserve">经济成本指标“参加信访工作会议及学习培训费用”指标未达到预期目标的原因为：根据实际产生的费用进行支出，因此指标完成情况存在偏差；下一步措施是下一年度做好项目管理，提高工作执行进度，减少偏差。</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六、有关建议</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开展进度的跟踪，确保项目绩效目标的完成。规范程序，严格把关。进一步完善项目申报、审核、公示、审批等程序，做好项目信息公开，公开内容要及时、完整、真实，确保项目公平、公开、公正。</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七</w:t>
      </w:r>
      <w:r>
        <w:rPr>
          <w:rFonts w:ascii="黑体" w:eastAsia="黑体" w:hAnsi="黑体" w:hint="eastAsia"/>
          <w:b w:val="0"/>
          <w:bCs w:val="0"/>
          <w:color w:val="auto"/>
          <w:highlight w:val="none"/>
        </w:rPr>
        <w:t xml:space="preserve">、其他需要说明的问题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lang w:val="en-US" w:eastAsia="zh-CN"/>
        </w:rPr>
      </w:pPr>
      <w:r>
        <w:rPr>
          <w:rFonts w:hint="eastAsia"/>
          <w:color w:val="auto"/>
          <w:highlight w:val="none"/>
          <w:lang w:val="en-US" w:eastAsia="zh-CN"/>
        </w:rPr>
        <w:t xml:space="preserve">无。</w:t>
      </w:r>
    </w:p>
    <w:p>
      <w:pPr>
        <w:pStyle w:val="Heading3"/>
        <w:rPr>
          <w:rFonts w:hint="eastAsia"/>
          <w:color w:val="auto"/>
          <w:highlight w:val="none"/>
        </w:rPr>
      </w:pPr>
    </w:p>
    <w:p>
      <w:pPr>
        <w:spacing w:line="560" w:lineRule="exact"/>
        <w:rPr>
          <w:rFonts w:ascii="仿宋_GB2312" w:hAnsi="仿宋_GB2312" w:cs="仿宋_GB2312" w:hint="eastAsia"/>
          <w:color w:val="auto"/>
          <w:sz w:val="32"/>
          <w:szCs w:val="32"/>
          <w:highlight w:val="none"/>
        </w:rPr>
      </w:pP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4.54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noWrap w:val="0"/>
            <w:vAlign w:val="center"/>
          </w:tcPr>
          <w:p>
            <w:pPr>
              <w:spacing w:line="400" w:lineRule="exact"/>
              <w:jc w:val="center"/>
              <w:rPr>
                <w:rFonts w:ascii="仿宋_GB2312" w:eastAsia="仿宋_GB2312" w:hAnsi="仿宋_GB2312" w:cs="仿宋_GB2312" w:hint="eastAsia"/>
                <w:color w:val="auto"/>
                <w:sz w:val="24"/>
                <w:highlight w:val="none"/>
                <w:lang w:val="en-US" w:eastAsia="zh-CN"/>
              </w:rPr>
            </w:pPr>
            <w:r>
              <w:rPr>
                <w:rFonts w:ascii="仿宋_GB2312" w:hAnsi="仿宋_GB2312" w:cs="仿宋_GB2312" w:hint="eastAsia"/>
                <w:color w:val="auto"/>
                <w:sz w:val="24"/>
                <w:highlight w:val="none"/>
                <w:lang w:val="en-US" w:eastAsia="zh-CN"/>
              </w:rPr>
              <w:t xml:space="preserve">6</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5.25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noWrap w:val="0"/>
            <w:vAlign w:val="center"/>
          </w:tcPr>
          <w:p>
            <w:pPr>
              <w:widowControl/>
              <w:spacing w:line="400" w:lineRule="exact"/>
              <w:jc w:val="center"/>
              <w:rPr>
                <w:rFonts w:ascii="仿宋_GB2312" w:eastAsia="仿宋_GB2312" w:hAnsi="仿宋_GB2312" w:cs="仿宋_GB2312" w:hint="eastAsia"/>
                <w:color w:val="auto"/>
                <w:kern w:val="0"/>
                <w:sz w:val="24"/>
                <w:highlight w:val="none"/>
                <w:lang w:eastAsia="zh-CN"/>
              </w:rPr>
            </w:pPr>
            <w:r>
              <w:rPr>
                <w:rFonts w:ascii="仿宋_GB2312" w:hAnsi="仿宋_GB2312" w:cs="仿宋_GB2312" w:hint="eastAsia"/>
                <w:color w:val="auto"/>
                <w:kern w:val="0"/>
                <w:sz w:val="24"/>
                <w:highlight w:val="none"/>
                <w:lang w:eastAsia="zh-CN"/>
              </w:rPr>
              <w:t xml:space="preserve">95.79</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nhideWhenUsed="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nhideWhenUsed/>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unhideWhenUsed/>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Char">
    <w:name w:val="标题 1 Char"/>
    <w:basedOn w:val="DefaultParagraphFont"/>
    <w:link w:val="Heading1"/>
    <w:rPr>
      <w:rFonts w:eastAsia="仿宋_GB2312"/>
      <w:b/>
      <w:bCs/>
      <w:kern w:val="44"/>
      <w:sz w:val="44"/>
      <w:szCs w:val="44"/>
    </w:rPr>
  </w:style>
  <w:style w:type="character" w:customStyle="1" w:styleId="标题2Char">
    <w:name w:val="标题 2 Char"/>
    <w:basedOn w:val="DefaultParagraphFont"/>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4"/>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B5A7CD4EE4B9474481BE226278B253C5_13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13</TotalTime>
  <Pages>21</Pages>
  <Words>9855</Words>
  <Characters>10165</Characters>
  <Application>WPS Office_12.1.0.15120_F1E327BC-269C-435d-A152-05C5408002CA</Application>
  <DocSecurity>0</DocSecurity>
  <Lines>56</Lines>
  <Paragraphs>15</Paragraphs>
  <Company>P R C</Company>
  <CharactersWithSpaces>10176</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62</cp:revision>
  <dcterms:created xsi:type="dcterms:W3CDTF">2020-05-07T10:25:00Z</dcterms:created>
  <dcterms:modified xsi:type="dcterms:W3CDTF">2025-09-05T07:54:34Z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B5A7CD4EE4B9474481BE226278B253C5_13</vt:lpwstr>
  </property>
  <property fmtid="{D5CDD505-2E9C-101B-9397-08002B2CF9AE}" pid="4" name="KSOTemplateDocerSaveRecord">
    <vt:lpwstr>eyJoZGlkIjoiYzZkNzQ4ZWFiZmQ4NTRhOWRkZTk3YTMwMjlmMmZhYmUiLCJ1c2VySWQiOiI1NzgxMjU4NDIifQ_x003D__x003D_</vt:lpwstr>
  </property>
</Properties>
</file>