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阿图什市玛纳斯社会足球场项目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项目名称：阿图什市玛纳斯社会足球场项目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项目单位：阿图什市文化体育广播电视和旅游局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主管部门：阿图什市文化体育广播电视和旅游局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阿图什市玛纳斯社会足球场项目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以城市生态修复功能完善、城镇老旧小区改造、完整居住社区建设等城市更新工作为契机，调动全社会力量共同</w:t>
      </w:r>
      <w:r>
        <w:rPr>
          <w:rFonts w:hint="eastAsia" w:ascii="仿宋_GB2312" w:hAnsi="仿宋_GB2312" w:cs="仿宋_GB2312"/>
          <w:color w:val="auto"/>
          <w:sz w:val="32"/>
          <w:szCs w:val="32"/>
          <w:highlight w:val="none"/>
          <w:lang w:eastAsia="zh-CN"/>
        </w:rPr>
        <w:t>参加</w:t>
      </w:r>
      <w:r>
        <w:rPr>
          <w:rFonts w:hint="eastAsia" w:ascii="仿宋_GB2312" w:hAnsi="仿宋_GB2312" w:cs="仿宋_GB2312"/>
          <w:color w:val="auto"/>
          <w:sz w:val="32"/>
          <w:szCs w:val="32"/>
          <w:highlight w:val="none"/>
        </w:rPr>
        <w:t>，抓紧补齐体育设施短板，推动城市高质量发展，为振兴足球事业、建设体育强国打下坚实基础。从推进足球改革发展、贯彻全民健身国家战略、实施健康中国行动的高度，推进足球场地设施建设。建立足球场地设施建设推进机制，确定工作目标和重点任务，逐项抓好任务落实</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共同推进社区足球场地设施建设。</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下达社会服务设施建设支持工程2024年第一批中央基建投资预算的通知》阿财建【2024】22号文件，下达资金500万元，用于支持项目数量1个；通过实施本项目，进一步改善社会福利、退役军人保障服务基础设施建设条件，加强全民健身设施数量，</w:t>
      </w:r>
      <w:r>
        <w:rPr>
          <w:rFonts w:hint="eastAsia" w:ascii="仿宋_GB2312" w:hAnsi="仿宋_GB2312" w:cs="仿宋_GB2312"/>
          <w:color w:val="auto"/>
          <w:sz w:val="32"/>
          <w:szCs w:val="30"/>
          <w:highlight w:val="none"/>
          <w:lang w:eastAsia="zh-CN"/>
        </w:rPr>
        <w:t>推动</w:t>
      </w:r>
      <w:r>
        <w:rPr>
          <w:rFonts w:hint="eastAsia" w:ascii="仿宋_GB2312" w:hAnsi="仿宋_GB2312" w:cs="仿宋_GB2312"/>
          <w:color w:val="auto"/>
          <w:sz w:val="32"/>
          <w:szCs w:val="30"/>
          <w:highlight w:val="none"/>
        </w:rPr>
        <w:t>广大群众身边的健身场地有效供给。</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文化体育广播电视和旅游局,实施单位为阿图什市文化体育广播电视和旅游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项目的实施情况：本项目经</w:t>
      </w:r>
      <w:r>
        <w:rPr>
          <w:rFonts w:hint="eastAsia" w:ascii="仿宋_GB2312" w:hAnsi="仿宋_GB2312" w:cs="仿宋_GB2312"/>
          <w:bCs/>
          <w:color w:val="auto"/>
          <w:sz w:val="32"/>
          <w:szCs w:val="30"/>
          <w:highlight w:val="none"/>
          <w:lang w:val="en-US" w:eastAsia="zh-CN"/>
        </w:rPr>
        <w:t>相关</w:t>
      </w:r>
      <w:r>
        <w:rPr>
          <w:rFonts w:hint="eastAsia" w:ascii="仿宋_GB2312" w:hAnsi="仿宋_GB2312" w:cs="仿宋_GB2312"/>
          <w:bCs/>
          <w:color w:val="auto"/>
          <w:sz w:val="32"/>
          <w:szCs w:val="30"/>
          <w:highlight w:val="none"/>
        </w:rPr>
        <w:t>会议，确定了项目领导小组，明确了责任分工：由</w:t>
      </w:r>
      <w:r>
        <w:rPr>
          <w:rFonts w:hint="eastAsia" w:ascii="仿宋_GB2312" w:hAnsi="仿宋_GB2312" w:cs="仿宋_GB2312"/>
          <w:bCs/>
          <w:color w:val="auto"/>
          <w:sz w:val="32"/>
          <w:szCs w:val="30"/>
          <w:highlight w:val="none"/>
          <w:lang w:val="en-US" w:eastAsia="zh-CN"/>
        </w:rPr>
        <w:t>中铭工程设计咨询有限公司喀什分公司</w:t>
      </w:r>
      <w:r>
        <w:rPr>
          <w:rFonts w:hint="eastAsia" w:ascii="仿宋_GB2312" w:hAnsi="仿宋_GB2312" w:cs="仿宋_GB2312"/>
          <w:bCs/>
          <w:color w:val="auto"/>
          <w:sz w:val="32"/>
          <w:szCs w:val="30"/>
          <w:highlight w:val="none"/>
        </w:rPr>
        <w:t>完成项目初步设计，编制了实施方案，项目采用公开招标确定施工单位为</w:t>
      </w:r>
      <w:r>
        <w:rPr>
          <w:rFonts w:hint="eastAsia" w:ascii="仿宋_GB2312" w:hAnsi="仿宋_GB2312" w:cs="仿宋_GB2312"/>
          <w:bCs/>
          <w:color w:val="auto"/>
          <w:sz w:val="32"/>
          <w:szCs w:val="30"/>
          <w:highlight w:val="none"/>
          <w:lang w:val="en-US" w:eastAsia="zh-CN"/>
        </w:rPr>
        <w:t>新疆鑫岐公路工作有限公司</w:t>
      </w:r>
      <w:r>
        <w:rPr>
          <w:rFonts w:hint="eastAsia" w:ascii="仿宋_GB2312" w:hAnsi="仿宋_GB2312" w:cs="仿宋_GB2312"/>
          <w:bCs/>
          <w:color w:val="auto"/>
          <w:sz w:val="32"/>
          <w:szCs w:val="30"/>
          <w:highlight w:val="none"/>
        </w:rPr>
        <w:t>，并签订了项目合同，监理方为</w:t>
      </w:r>
      <w:r>
        <w:rPr>
          <w:rFonts w:hint="eastAsia" w:ascii="仿宋_GB2312" w:hAnsi="仿宋_GB2312" w:cs="仿宋_GB2312"/>
          <w:bCs/>
          <w:color w:val="auto"/>
          <w:sz w:val="32"/>
          <w:szCs w:val="30"/>
          <w:highlight w:val="none"/>
          <w:lang w:val="en-US" w:eastAsia="zh-CN"/>
        </w:rPr>
        <w:t>君利源珺工程咨询有限公司</w:t>
      </w:r>
      <w:r>
        <w:rPr>
          <w:rFonts w:hint="eastAsia" w:ascii="仿宋_GB2312" w:hAnsi="仿宋_GB2312" w:cs="仿宋_GB2312"/>
          <w:bCs/>
          <w:color w:val="auto"/>
          <w:sz w:val="32"/>
          <w:szCs w:val="30"/>
          <w:highlight w:val="none"/>
        </w:rPr>
        <w:t>，并签订了监理合同。项目</w:t>
      </w:r>
      <w:r>
        <w:rPr>
          <w:rFonts w:hint="eastAsia" w:ascii="仿宋_GB2312" w:hAnsi="仿宋_GB2312" w:cs="仿宋_GB2312"/>
          <w:bCs/>
          <w:color w:val="auto"/>
          <w:sz w:val="32"/>
          <w:szCs w:val="30"/>
          <w:highlight w:val="none"/>
          <w:lang w:val="en-US" w:eastAsia="zh-CN"/>
        </w:rPr>
        <w:t>尚未</w:t>
      </w:r>
      <w:r>
        <w:rPr>
          <w:rFonts w:hint="eastAsia" w:ascii="仿宋_GB2312" w:hAnsi="仿宋_GB2312" w:cs="仿宋_GB2312"/>
          <w:bCs/>
          <w:color w:val="auto"/>
          <w:sz w:val="32"/>
          <w:szCs w:val="30"/>
          <w:highlight w:val="none"/>
        </w:rPr>
        <w:t>进行验收，项目</w:t>
      </w:r>
      <w:r>
        <w:rPr>
          <w:rFonts w:hint="eastAsia" w:ascii="仿宋_GB2312" w:hAnsi="仿宋_GB2312" w:cs="仿宋_GB2312"/>
          <w:bCs/>
          <w:color w:val="auto"/>
          <w:sz w:val="32"/>
          <w:szCs w:val="30"/>
          <w:highlight w:val="none"/>
          <w:lang w:val="en-US" w:eastAsia="zh-CN"/>
        </w:rPr>
        <w:t>尚未</w:t>
      </w:r>
      <w:r>
        <w:rPr>
          <w:rFonts w:hint="eastAsia" w:ascii="仿宋_GB2312" w:hAnsi="仿宋_GB2312" w:cs="仿宋_GB2312"/>
          <w:bCs/>
          <w:color w:val="auto"/>
          <w:sz w:val="32"/>
          <w:szCs w:val="30"/>
          <w:highlight w:val="none"/>
        </w:rPr>
        <w:t>竣工决算并移交使用。项目实施过程中制定了</w:t>
      </w:r>
      <w:r>
        <w:rPr>
          <w:rFonts w:hint="eastAsia" w:ascii="仿宋_GB2312" w:hAnsi="仿宋_GB2312" w:cs="仿宋_GB2312"/>
          <w:bCs/>
          <w:color w:val="auto"/>
          <w:sz w:val="32"/>
          <w:szCs w:val="30"/>
          <w:highlight w:val="none"/>
          <w:lang w:val="en-US" w:eastAsia="zh-CN"/>
        </w:rPr>
        <w:t>相关</w:t>
      </w:r>
      <w:r>
        <w:rPr>
          <w:rFonts w:hint="eastAsia" w:ascii="仿宋_GB2312" w:hAnsi="仿宋_GB2312" w:cs="仿宋_GB2312"/>
          <w:bCs/>
          <w:color w:val="auto"/>
          <w:sz w:val="32"/>
          <w:szCs w:val="30"/>
          <w:highlight w:val="none"/>
        </w:rPr>
        <w:t>管理制度。</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500</w:t>
      </w:r>
      <w:r>
        <w:rPr>
          <w:rStyle w:val="11"/>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资金使用情况：根据项目实施情况，项目资金实际支付379.92万元，资金执行率达到</w:t>
      </w:r>
      <w:r>
        <w:rPr>
          <w:rStyle w:val="11"/>
          <w:rFonts w:hint="eastAsia" w:ascii="仿宋_GB2312" w:hAnsi="仿宋_GB2312" w:cs="仿宋_GB2312"/>
          <w:b w:val="0"/>
          <w:color w:val="auto"/>
          <w:spacing w:val="-4"/>
          <w:sz w:val="32"/>
          <w:szCs w:val="30"/>
          <w:highlight w:val="none"/>
          <w:lang w:val="en-US" w:eastAsia="zh-CN"/>
        </w:rPr>
        <w:t>76</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阿图什市玛纳斯社会足球场</w:t>
      </w:r>
      <w:r>
        <w:rPr>
          <w:rStyle w:val="11"/>
          <w:rFonts w:hint="eastAsia" w:ascii="仿宋_GB2312"/>
          <w:b w:val="0"/>
          <w:color w:val="auto"/>
          <w:spacing w:val="-4"/>
          <w:sz w:val="32"/>
          <w:highlight w:val="none"/>
          <w:lang w:val="en-US" w:eastAsia="zh-CN"/>
        </w:rPr>
        <w:t>建设成本：379.92万元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下达社会服务设施建设支持工程2024年第一批中央基建投资预算的通知》阿财建【2024】22号文件，下达资金500万元，用于支持项目数量1个；通过实施本项目，进一步改善社会福利、退役军人保障服务基础设施建设条件，加强全民健身设施数量，</w:t>
      </w:r>
      <w:r>
        <w:rPr>
          <w:rFonts w:hint="eastAsia" w:ascii="仿宋_GB2312" w:hAnsi="仿宋_GB2312" w:cs="仿宋_GB2312"/>
          <w:color w:val="auto"/>
          <w:sz w:val="32"/>
          <w:highlight w:val="none"/>
          <w:lang w:eastAsia="zh-CN"/>
        </w:rPr>
        <w:t>推动</w:t>
      </w:r>
      <w:r>
        <w:rPr>
          <w:rFonts w:hint="eastAsia" w:ascii="仿宋_GB2312" w:hAnsi="仿宋_GB2312" w:cs="仿宋_GB2312"/>
          <w:color w:val="auto"/>
          <w:sz w:val="32"/>
          <w:highlight w:val="none"/>
        </w:rPr>
        <w:t>广大群众身边的健身场地有效供给。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阿图什市玛纳斯社会足球场项目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阿图什市玛纳斯社会足球场项目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阿图什市玛纳斯社会足球场项目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阿图什市玛纳斯社会足球场项目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王 艳</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郭海燕</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谭凤玲</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玛纳斯社会足球场项目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组织管理、产出与效益效果。在此基础上，以相关的项目数据为基础，综合运用不同的评价方法，结合评价标准和评分规则，阿图什市玛纳斯社会足球场项目综合得分为95.42分，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年阿图什市玛纳斯社会足球场项目评价得分情况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18"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07"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15.8</w:t>
            </w:r>
          </w:p>
        </w:tc>
        <w:tc>
          <w:tcPr>
            <w:tcW w:w="3866" w:type="dxa"/>
            <w:tcBorders>
              <w:top w:val="single" w:color="auto" w:sz="4" w:space="0"/>
              <w:left w:val="single" w:color="auto" w:sz="4" w:space="0"/>
              <w:right w:val="single" w:color="auto" w:sz="4" w:space="0"/>
            </w:tcBorders>
            <w:shd w:val="clear" w:color="auto" w:fill="FFFFFF"/>
            <w:vAlign w:val="bottom"/>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预算执行率扣1.2分</w:t>
            </w:r>
          </w:p>
        </w:tc>
      </w:tr>
      <w:tr>
        <w:tblPrEx>
          <w:tblLayout w:type="fixed"/>
          <w:tblCellMar>
            <w:top w:w="0" w:type="dxa"/>
            <w:left w:w="10" w:type="dxa"/>
            <w:bottom w:w="0" w:type="dxa"/>
            <w:right w:w="10" w:type="dxa"/>
          </w:tblCellMar>
        </w:tblPrEx>
        <w:trPr>
          <w:trHeight w:val="1143"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26.62</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质量指标扣1.7分</w:t>
            </w:r>
          </w:p>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成本指标扣1.68分</w:t>
            </w:r>
          </w:p>
        </w:tc>
      </w:tr>
      <w:tr>
        <w:tblPrEx>
          <w:tblLayout w:type="fixed"/>
          <w:tblCellMar>
            <w:top w:w="0" w:type="dxa"/>
            <w:left w:w="10" w:type="dxa"/>
            <w:bottom w:w="0" w:type="dxa"/>
            <w:right w:w="10" w:type="dxa"/>
          </w:tblCellMar>
        </w:tblPrEx>
        <w:trPr>
          <w:trHeight w:val="645"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95.42</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年已完成阿图什市玛纳斯社会足球场</w:t>
      </w:r>
      <w:r>
        <w:rPr>
          <w:rFonts w:hint="eastAsia" w:ascii="仿宋_GB2312" w:hAnsi="仿宋_GB2312" w:cs="仿宋_GB2312"/>
          <w:color w:val="auto"/>
          <w:sz w:val="32"/>
          <w:szCs w:val="32"/>
          <w:highlight w:val="none"/>
          <w:lang w:val="en-US" w:eastAsia="zh-CN"/>
        </w:rPr>
        <w:t>建设项目工程进度95%</w:t>
      </w:r>
      <w:r>
        <w:rPr>
          <w:rFonts w:hint="eastAsia" w:ascii="仿宋_GB2312" w:hAnsi="仿宋_GB2312" w:cs="仿宋_GB2312"/>
          <w:color w:val="auto"/>
          <w:sz w:val="32"/>
          <w:szCs w:val="32"/>
          <w:highlight w:val="none"/>
        </w:rPr>
        <w:t>；通过该项目的实施进一步改善社会福利、退役军人保障服务基础设施建设条件，加强全民健身设施数量，</w:t>
      </w:r>
      <w:r>
        <w:rPr>
          <w:rFonts w:hint="eastAsia" w:ascii="仿宋_GB2312" w:hAnsi="仿宋_GB2312" w:cs="仿宋_GB2312"/>
          <w:color w:val="auto"/>
          <w:sz w:val="32"/>
          <w:szCs w:val="32"/>
          <w:highlight w:val="none"/>
          <w:lang w:eastAsia="zh-CN"/>
        </w:rPr>
        <w:t>推动</w:t>
      </w:r>
      <w:r>
        <w:rPr>
          <w:rFonts w:hint="eastAsia" w:ascii="仿宋_GB2312" w:hAnsi="仿宋_GB2312" w:cs="仿宋_GB2312"/>
          <w:color w:val="auto"/>
          <w:sz w:val="32"/>
          <w:szCs w:val="32"/>
          <w:highlight w:val="none"/>
        </w:rPr>
        <w:t>广大群众身边的健身场地有效供给。</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阿图什市玛纳斯社会足球场项目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379.92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95.42</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阿图什市玛纳斯社会足球场</w:t>
      </w:r>
      <w:r>
        <w:rPr>
          <w:rFonts w:hint="eastAsia" w:ascii="仿宋_GB2312" w:hAnsi="仿宋_GB2312" w:cs="仿宋_GB2312"/>
          <w:color w:val="auto"/>
          <w:sz w:val="32"/>
          <w:szCs w:val="32"/>
          <w:highlight w:val="none"/>
          <w:lang w:val="en-US" w:eastAsia="zh-CN"/>
        </w:rPr>
        <w:t>建设资金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数量指标为支持项目数量，预期指标值是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质量指标为可行性研究规范性，预期指标值是，实际完成值是，指标达到预期目标。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76%，指标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达到预期目标。原因：项目目前已完成工程量95%，剩余资金尚未支付，待项目完工后进行支付；措施：加快施工进度，提高工作执行进度，尽早支付剩余资金，减少偏差。</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质量指标为工程量完成率，预期指标值是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达到预期目标。原因：项目目前已完成工程量95%，剩余资金尚未支付，待项目完工后进行支付；措施：加快施工进度，提高工作执行进度，尽早支付剩余资金，减少偏差。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时效指标为项目按计划开工率，预期指标值是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成本指标为建设项目投资预算控制率，预期指标值是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76%，指标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达到预期目标。原因：项目目前已完成工程量95%，剩余资金尚未支付，待项目完工后进行支付；措施：加快施工进度，提高工作执行进度，尽早支付剩余资金，减少偏差。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指标为改善全民健身设施，预期指标值是有效改善，实际完成值是有效改善，指标达到预期目标。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w:t>
      </w:r>
      <w:r>
        <w:rPr>
          <w:rFonts w:hint="eastAsia" w:ascii="仿宋_GB2312"/>
          <w:color w:val="auto"/>
          <w:sz w:val="32"/>
          <w:szCs w:val="32"/>
          <w:highlight w:val="none"/>
          <w:lang w:val="en-US" w:eastAsia="zh-CN"/>
        </w:rPr>
        <w:t>为群众满意度，预期指标值是大于等于95%，实际完成值是等于95%，指标达到预期目标。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500</w:t>
      </w:r>
      <w:r>
        <w:rPr>
          <w:rFonts w:hint="eastAsia"/>
          <w:color w:val="auto"/>
          <w:sz w:val="32"/>
          <w:highlight w:val="none"/>
        </w:rPr>
        <w:t>万元，执行数</w:t>
      </w:r>
      <w:r>
        <w:rPr>
          <w:rFonts w:hint="eastAsia"/>
          <w:color w:val="auto"/>
          <w:sz w:val="32"/>
          <w:highlight w:val="none"/>
          <w:lang w:val="en-US" w:eastAsia="zh-CN"/>
        </w:rPr>
        <w:t>379.92</w:t>
      </w:r>
      <w:r>
        <w:rPr>
          <w:rFonts w:hint="eastAsia"/>
          <w:color w:val="auto"/>
          <w:sz w:val="32"/>
          <w:highlight w:val="none"/>
        </w:rPr>
        <w:t>万元，执行率</w:t>
      </w:r>
      <w:r>
        <w:rPr>
          <w:rFonts w:hint="eastAsia"/>
          <w:color w:val="auto"/>
          <w:sz w:val="32"/>
          <w:highlight w:val="none"/>
          <w:lang w:val="en-US" w:eastAsia="zh-CN"/>
        </w:rPr>
        <w:t>76</w:t>
      </w:r>
      <w:r>
        <w:rPr>
          <w:rFonts w:hint="eastAsia"/>
          <w:color w:val="auto"/>
          <w:sz w:val="32"/>
          <w:highlight w:val="none"/>
        </w:rPr>
        <w:t>%，绩效指标完成率</w:t>
      </w:r>
      <w:r>
        <w:rPr>
          <w:rFonts w:hint="eastAsia"/>
          <w:color w:val="auto"/>
          <w:sz w:val="32"/>
          <w:highlight w:val="none"/>
          <w:lang w:val="en-US" w:eastAsia="zh-CN"/>
        </w:rPr>
        <w:t>93.4</w:t>
      </w:r>
      <w:r>
        <w:rPr>
          <w:rFonts w:hint="eastAsia"/>
          <w:color w:val="auto"/>
          <w:sz w:val="32"/>
          <w:highlight w:val="none"/>
        </w:rPr>
        <w:t>%，偏差率</w:t>
      </w:r>
      <w:r>
        <w:rPr>
          <w:rFonts w:hint="eastAsia"/>
          <w:color w:val="auto"/>
          <w:sz w:val="32"/>
          <w:highlight w:val="none"/>
          <w:lang w:val="en-US" w:eastAsia="zh-CN"/>
        </w:rPr>
        <w:t>17.4</w:t>
      </w:r>
      <w:r>
        <w:rPr>
          <w:rFonts w:hint="eastAsia"/>
          <w:color w:val="auto"/>
          <w:sz w:val="32"/>
          <w:highlight w:val="none"/>
        </w:rPr>
        <w:t>%。偏差原因：项目目前已完成工程量95%，剩余资金尚未支付，待项目完工后进行支付。</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3"/>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5.32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95.42</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DD17"/>
    <w:multiLevelType w:val="multilevel"/>
    <w:tmpl w:val="68CBDD17"/>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DD22"/>
    <w:multiLevelType w:val="singleLevel"/>
    <w:tmpl w:val="68CBDD22"/>
    <w:lvl w:ilvl="0" w:tentative="0">
      <w:start w:val="3"/>
      <w:numFmt w:val="decimal"/>
      <w:suff w:val="nothing"/>
      <w:lvlText w:val="%1．"/>
      <w:lvlJc w:val="left"/>
      <w:rPr>
        <w:rFonts w:hint="default"/>
        <w:b/>
        <w:bCs/>
        <w:color w:val="auto"/>
      </w:rPr>
    </w:lvl>
  </w:abstractNum>
  <w:abstractNum w:abstractNumId="2">
    <w:nsid w:val="68CBDD2D"/>
    <w:multiLevelType w:val="singleLevel"/>
    <w:tmpl w:val="68CBDD2D"/>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B096E7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qFormat/>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qFormat/>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标题1"/>
    <w:basedOn w:val="3"/>
    <w:next w:val="1"/>
    <w:qFormat/>
    <w:uiPriority w:val="0"/>
    <w:pPr>
      <w:spacing w:before="120" w:after="120" w:line="500" w:lineRule="exact"/>
      <w:ind w:firstLine="200" w:firstLineChars="200"/>
    </w:pPr>
    <w:rPr>
      <w:rFonts w:eastAsia="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F75CA8B2E01846F2932771C27AD79AED_13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2f8de-541e-4fc2-8ddc-2520027b68a6}">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2</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2025-09-18T10:21:02Z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F75CA8B2E01846F2932771C27AD79AED_13</vt:lpwstr>
  </property>
  <property fmtid="{D5CDD505-2E9C-101B-9397-08002B2CF9AE}" pid="4" name="KSOTemplateDocerSaveRecord">
    <vt:lpwstr>eyJoZGlkIjoiYzZkNzQ4ZWFiZmQ4NTRhOWRkZTk3YTMwMjlmMmZhYmUiLCJ1c2VySWQiOiI1NzgxMjU4NDIifQ_x003D__x003D_</vt:lpwstr>
  </property>
</Properties>
</file>