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阿图什市第四小学2024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维护学校的教学秩序，为学生创造良好的学习环境。</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根据学校规模，设置学校管理机构，建立健全各项规章制度和岗位责任制。</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坚持教书育人，服务育人，环境育人方针，加强对学生思想品德教育，使学生的德智体全面发展。</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阿图什市第四小学2024年度，实有人数57人，其中：在职人员44人，减少4人；离休人员0人，增加0人；退休人员13人,增加1人。</w:t>
      </w:r>
    </w:p>
    <w:p>
      <w:pPr>
        <w:spacing w:line="580" w:lineRule="exact"/>
        <w:ind w:firstLine="640"/>
        <w:jc w:val="both"/>
      </w:pPr>
      <w:r>
        <w:rPr>
          <w:rFonts w:ascii="仿宋_GB2312" w:hAnsi="仿宋_GB2312" w:eastAsia="仿宋_GB2312"/>
          <w:sz w:val="32"/>
        </w:rPr>
        <w:t>阿图什市第四小学无下属预算单位，下设5个科室，分别是：办公室、党建室、校安办、教导处、财务室。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2024年度收入总计980.15万元，</w:t>
      </w:r>
      <w:r>
        <w:rPr>
          <w:rFonts w:ascii="仿宋_GB2312" w:hAnsi="仿宋_GB2312" w:eastAsia="仿宋_GB2312"/>
          <w:b w:val="0"/>
          <w:sz w:val="32"/>
        </w:rPr>
        <w:t>其中：本年收入合计962.25万元，使用非财政拨款结余（含专用结余）0.00万元，年初结转和结余17.90万元。</w:t>
      </w:r>
    </w:p>
    <w:p>
      <w:pPr>
        <w:spacing w:line="580" w:lineRule="exact"/>
        <w:ind w:firstLine="640"/>
        <w:jc w:val="both"/>
      </w:pPr>
      <w:r>
        <w:rPr>
          <w:rFonts w:ascii="仿宋_GB2312" w:hAnsi="仿宋_GB2312" w:eastAsia="仿宋_GB2312"/>
          <w:b/>
          <w:sz w:val="32"/>
        </w:rPr>
        <w:t>2024年度支出总计980.15万元，</w:t>
      </w:r>
      <w:r>
        <w:rPr>
          <w:rFonts w:ascii="仿宋_GB2312" w:hAnsi="仿宋_GB2312" w:eastAsia="仿宋_GB2312"/>
          <w:b w:val="0"/>
          <w:sz w:val="32"/>
        </w:rPr>
        <w:t>其中：本年支出合计963.52万元，结余分配0.00万元，年末结转和结余16.63万元。</w:t>
      </w:r>
    </w:p>
    <w:p>
      <w:pPr>
        <w:spacing w:line="580" w:lineRule="exact"/>
        <w:ind w:firstLine="640"/>
        <w:jc w:val="both"/>
      </w:pPr>
      <w:r>
        <w:rPr>
          <w:rFonts w:ascii="仿宋_GB2312" w:hAnsi="仿宋_GB2312" w:eastAsia="仿宋_GB2312"/>
          <w:b w:val="0"/>
          <w:sz w:val="32"/>
        </w:rPr>
        <w:t>收入支出总体与上年相比，增加29.63万元，增长3.12%，主要原因是：本年在职人员工资调增，社保、公积金基数调增，人员经费增加。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本年收入962.25万元，</w:t>
      </w:r>
      <w:r>
        <w:rPr>
          <w:rFonts w:ascii="仿宋_GB2312" w:hAnsi="仿宋_GB2312" w:eastAsia="仿宋_GB2312"/>
          <w:b w:val="0"/>
          <w:sz w:val="32"/>
        </w:rPr>
        <w:t>其中：财政拨款收入960.55万元，占99.82%；上级补助收入0.00万元，占0.00%；事业收入0.00万元，占0.00%；经营收入0.00万元，占0.00%；附属单位上缴收入0.00万元，占0.00%；其他收入1.70万元，占0.18%。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本年支出963.52万元，</w:t>
      </w:r>
      <w:r>
        <w:rPr>
          <w:rFonts w:ascii="仿宋_GB2312" w:hAnsi="仿宋_GB2312" w:eastAsia="仿宋_GB2312"/>
          <w:b w:val="0"/>
          <w:sz w:val="32"/>
        </w:rPr>
        <w:t>其中：基本支出882.18万元，占91.56%；项目支出81.34万元，占8.44%；上缴上级支出0.00万元，占0.00%；经营支出0.00万元，占0.00%；对附属单位补助支出0.00万元，占0.00%。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2024年度财政拨款收入总计960.55万元，</w:t>
      </w:r>
      <w:r>
        <w:rPr>
          <w:rFonts w:ascii="仿宋_GB2312" w:hAnsi="仿宋_GB2312" w:eastAsia="仿宋_GB2312"/>
          <w:b w:val="0"/>
          <w:sz w:val="32"/>
        </w:rPr>
        <w:t>其中：年初财政拨款结转和结余0.00万元，本年财政拨款收入960.55万元。</w:t>
      </w:r>
      <w:r>
        <w:rPr>
          <w:rFonts w:ascii="仿宋_GB2312" w:hAnsi="仿宋_GB2312" w:eastAsia="仿宋_GB2312"/>
          <w:b/>
          <w:sz w:val="32"/>
        </w:rPr>
        <w:t>财政拨款支出总计960.55万元，</w:t>
      </w:r>
      <w:r>
        <w:rPr>
          <w:rFonts w:ascii="仿宋_GB2312" w:hAnsi="仿宋_GB2312" w:eastAsia="仿宋_GB2312"/>
          <w:b w:val="0"/>
          <w:sz w:val="32"/>
        </w:rPr>
        <w:t>其中：年末财政拨款结转和结余0.00万元，本年财政拨款支出960.55万元。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增加27.93万元，增长2.99%，主要原因是：本年在职人员工资调增，社保、公积金基数调增，人员经费增加。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年初预算数913.10万元，决算数960.55万元，预决算差异率5.20%，主要原因是：年中追加人员工资、社保、公积金基数调增部分资金，导致预决算存在差异。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2024年度一般公共预算财政拨款支出960.55万元，</w:t>
      </w:r>
      <w:r>
        <w:rPr>
          <w:rFonts w:ascii="仿宋_GB2312" w:hAnsi="仿宋_GB2312" w:eastAsia="仿宋_GB2312"/>
          <w:b w:val="0"/>
          <w:sz w:val="32"/>
        </w:rPr>
        <w:t>占本年支出合计的99.69%。</w:t>
      </w:r>
      <w:r>
        <w:rPr>
          <w:rFonts w:ascii="仿宋_GB2312" w:hAnsi="仿宋_GB2312" w:eastAsia="仿宋_GB2312"/>
          <w:b/>
          <w:sz w:val="32"/>
        </w:rPr>
        <w:t>与上年相比，</w:t>
      </w:r>
      <w:r>
        <w:rPr>
          <w:rFonts w:ascii="仿宋_GB2312" w:hAnsi="仿宋_GB2312" w:eastAsia="仿宋_GB2312"/>
          <w:b w:val="0"/>
          <w:sz w:val="32"/>
        </w:rPr>
        <w:t>增加27.93万元，增长2.99%，主要原因是：本年在职人员工资调增，社保、公积金基数调增，人员经费增加。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年初预算数913.10万元，决算数960.55万元，预决算差异率5.20%，主要原因是：年中追加人员工资、社保、公积金基数调增部分资金，导致预决算存在差异。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1.教育支出(类)946.51万元,占98.54%。</w:t>
      </w:r>
    </w:p>
    <w:p>
      <w:pPr>
        <w:spacing w:line="580" w:lineRule="exact"/>
        <w:ind w:firstLine="640"/>
        <w:jc w:val="both"/>
      </w:pPr>
      <w:r>
        <w:rPr>
          <w:rFonts w:ascii="仿宋_GB2312" w:hAnsi="仿宋_GB2312" w:eastAsia="仿宋_GB2312"/>
          <w:b w:val="0"/>
          <w:sz w:val="32"/>
        </w:rPr>
        <w:t>2.社会保障和就业支出(类)14.04万元,占1.46%。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1.教育支出(类)普通教育(款)小学教育(项):支出决算数为946.51万元，比上年决算增加158.35万元，增长20.09%,主要原因是：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科目调整，职工1-10月份养老保险及1-12月住房公积金上年单独科目列支，本年调整至小学教育科目</w:t>
      </w:r>
      <w:r>
        <w:rPr>
          <w:rFonts w:hint="eastAsia" w:ascii="仿宋_GB2312" w:hAnsi="仿宋_GB2312" w:eastAsia="仿宋_GB2312"/>
          <w:b w:val="0"/>
          <w:sz w:val="32"/>
          <w:lang w:val="en-US" w:eastAsia="zh-CN"/>
        </w:rPr>
        <w:t>列支，导致经费增加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2.社会保障和就业支出(类)行政事业单位养老支出(款)机关事业单位基本养老保险缴费支出(项):支出决算数为13.94万元，比上年决算减少64.18万元，下降82.16%,主要原因是：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科目调整，职工1-10月份养老保险调整至小学教育科目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3.社会保障和就业支出(类)行政事业单位养老支出(款)机关事业单位职业年金缴费支出(项):支出决算数为0.10万元，比上年决算增加0.10万元，增长100.00%,主要原因是：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发放辞职人员职业年金。</w:t>
      </w:r>
    </w:p>
    <w:p>
      <w:pPr>
        <w:spacing w:line="580" w:lineRule="exact"/>
        <w:ind w:firstLine="640"/>
        <w:jc w:val="both"/>
      </w:pPr>
      <w:r>
        <w:rPr>
          <w:rFonts w:ascii="仿宋_GB2312" w:hAnsi="仿宋_GB2312" w:eastAsia="仿宋_GB2312"/>
          <w:b w:val="0"/>
          <w:sz w:val="32"/>
        </w:rPr>
        <w:t>4.住房保障支出(类)住房改革支出(款)住房公积金(项):支出决算数为0.00万元，比上年决算减少66.33万元，下降100.00%,主要原因是：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科目调整，职工住房公积金调整至小学教育科目</w:t>
      </w:r>
      <w:r>
        <w:rPr>
          <w:rFonts w:hint="eastAsia" w:ascii="仿宋_GB2312" w:hAnsi="仿宋_GB2312" w:eastAsia="仿宋_GB2312"/>
          <w:b w:val="0"/>
          <w:sz w:val="32"/>
          <w:lang w:val="en-US" w:eastAsia="zh-CN"/>
        </w:rPr>
        <w:t>列支，导致经费减少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2024年度一般公共预算财政拨款基本支出882.18万元，其中：</w:t>
      </w:r>
      <w:r>
        <w:rPr>
          <w:rFonts w:ascii="仿宋_GB2312" w:hAnsi="仿宋_GB2312" w:eastAsia="仿宋_GB2312"/>
          <w:b/>
          <w:sz w:val="32"/>
        </w:rPr>
        <w:t>人员经费882.18万元，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2024年度阿图什市第四小学（事业单位）公用经费支出0.00万元，比上年减少0.54万元，下降100.00%，主要原因是：本年度未安排公用经费，减少办公用品、水电费支出。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2024年度政府采购支出总额18.59万元，其中：政府采购货物支出12.72万元、政府采购工程支出0.00万元、政府采购服务支出5.87万元。</w:t>
      </w:r>
    </w:p>
    <w:p>
      <w:pPr>
        <w:spacing w:line="580" w:lineRule="exact"/>
        <w:ind w:firstLine="640"/>
        <w:jc w:val="both"/>
      </w:pPr>
      <w:r>
        <w:rPr>
          <w:rFonts w:ascii="仿宋_GB2312" w:hAnsi="仿宋_GB2312" w:eastAsia="仿宋_GB2312"/>
          <w:b w:val="0"/>
          <w:sz w:val="32"/>
        </w:rPr>
        <w:t>授予中小企业合同金额10.94万元，占政府采购支出总额的58.85%，其中：授予小微企业合同金额10.94万元，占政府采购支出总额的58.85%。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2,930.42平方米，价值489.66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980.15万元，实际执行总额963.52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阿图什市第四小学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 </w:t>
            </w:r>
            <w:r>
              <w:rPr>
                <w:rFonts w:ascii="宋体" w:hAnsi="宋体" w:eastAsia="宋体"/>
                <w:sz w:val="16"/>
              </w:rPr>
              <w:br w:type="textWrapping"/>
            </w:r>
            <w:r>
              <w:rPr>
                <w:rFonts w:ascii="宋体" w:hAnsi="宋体" w:eastAsia="宋体"/>
                <w:sz w:val="16"/>
              </w:rPr>
              <w:t xml:space="preserve">机构设置及人员配置：无下属预算单位，下设7个科室，编制数47，实有人数60人，在职48人，退休12人。 </w:t>
            </w:r>
            <w:r>
              <w:rPr>
                <w:rFonts w:ascii="宋体" w:hAnsi="宋体" w:eastAsia="宋体"/>
                <w:sz w:val="16"/>
              </w:rPr>
              <w:br w:type="textWrapping"/>
            </w:r>
            <w:r>
              <w:rPr>
                <w:rFonts w:ascii="宋体" w:hAnsi="宋体" w:eastAsia="宋体"/>
                <w:sz w:val="16"/>
              </w:rPr>
              <w:t>中长期规划：以为党育人、为国育才为使命，以党史</w:t>
            </w:r>
            <w:r>
              <w:rPr>
                <w:rFonts w:hint="eastAsia" w:ascii="宋体" w:hAnsi="宋体"/>
                <w:sz w:val="16"/>
                <w:lang w:eastAsia="zh-CN"/>
              </w:rPr>
              <w:t>学习</w:t>
            </w:r>
            <w:r>
              <w:rPr>
                <w:rFonts w:ascii="宋体" w:hAnsi="宋体" w:eastAsia="宋体"/>
                <w:sz w:val="16"/>
              </w:rPr>
              <w:t xml:space="preserve">教育为契机，以全面提高教育质量为中心，不断更新教育理念，大力提高素质教育水平，在提高我校教育质量的同时，全面推动我校“双减”工作落地生根。 </w:t>
            </w:r>
            <w:r>
              <w:rPr>
                <w:rFonts w:ascii="宋体" w:hAnsi="宋体" w:eastAsia="宋体"/>
                <w:sz w:val="16"/>
              </w:rPr>
              <w:br w:type="textWrapping"/>
            </w:r>
            <w:r>
              <w:rPr>
                <w:rFonts w:ascii="宋体" w:hAnsi="宋体" w:eastAsia="宋体"/>
                <w:sz w:val="16"/>
              </w:rPr>
              <w:t xml:space="preserve">   保障单位在职48人，退休12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963.52万元，用于保障部门在职48人，退休12人的工资福利、各项补助正常发放及部门单位正常运转，单位预算项目根据年初计划均已完成，便于开展检查指导学习各级各类学校工作，对全市教师开展培训工作，提高教学能力，为教师购买生活物资，提高教师幸福感、归属感，积极开展校园文化建设，培养学生身心全面发展，年度任务中完成法制教育课和安全知识讲座40次，教师培训人数38人，保障单位正常运转期限12个月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教学常规工作考核合格率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50">
    <w:altName w:val="宋体"/>
    <w:panose1 w:val="02010609030101010101"/>
    <w:charset w:val="86"/>
    <w:family w:val="auto"/>
    <w:pitch w:val="default"/>
    <w:sig w:usb0="00000000" w:usb1="00000000" w:usb2="00000000" w:usb3="00000000" w:csb0="00040000" w:csb1="00000000"/>
  </w:font>
  <w:font w:name="WPSEMBED151">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A17E84"/>
    <w:rsid w:val="09A729D8"/>
    <w:rsid w:val="0A3C58E8"/>
    <w:rsid w:val="0A7B4867"/>
    <w:rsid w:val="0B8C3ECC"/>
    <w:rsid w:val="0C3613A3"/>
    <w:rsid w:val="0C7227A7"/>
    <w:rsid w:val="0DCA6EF7"/>
    <w:rsid w:val="0E4B1576"/>
    <w:rsid w:val="0EA04331"/>
    <w:rsid w:val="0F9811B3"/>
    <w:rsid w:val="11E15093"/>
    <w:rsid w:val="120E0809"/>
    <w:rsid w:val="17F9302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3455FF"/>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263B00"/>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3754</Words>
  <Characters>4350</Characters>
  <Lines>0</Lines>
  <Paragraphs>0</Paragraphs>
  <TotalTime>8</TotalTime>
  <ScaleCrop>false</ScaleCrop>
  <LinksUpToDate>false</LinksUpToDate>
  <CharactersWithSpaces>4358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