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中共阿图什市委员会统战部2024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2736E0">
      <w:r>
        <w:br w:type="page"/>
      </w:r>
    </w:p>
    <w:p w14:paraId="4D1FC28D">
      <w:pPr>
        <w:spacing w:line="640" w:lineRule="exact"/>
        <w:jc w:val="center"/>
        <w:outlineLvl w:val="1"/>
      </w:pPr>
      <w:r>
        <w:rPr>
          <w:rFonts w:ascii="黑体" w:hAnsi="黑体" w:eastAsia="黑体"/>
          <w:sz w:val="32"/>
        </w:rPr>
        <w:t>第一部分 单位概况</w:t>
      </w:r>
    </w:p>
    <w:p w14:paraId="61207842">
      <w:pPr>
        <w:spacing w:line="640" w:lineRule="exact"/>
        <w:ind w:firstLine="640"/>
        <w:jc w:val="both"/>
        <w:outlineLvl w:val="2"/>
      </w:pPr>
      <w:r>
        <w:rPr>
          <w:rFonts w:ascii="黑体" w:hAnsi="黑体" w:eastAsia="黑体"/>
          <w:sz w:val="32"/>
        </w:rPr>
        <w:t>一、主要职能</w:t>
      </w:r>
    </w:p>
    <w:p w14:paraId="4C9212DD">
      <w:pPr>
        <w:spacing w:line="580" w:lineRule="exact"/>
        <w:ind w:firstLine="640"/>
        <w:jc w:val="both"/>
      </w:pPr>
      <w:r>
        <w:rPr>
          <w:rFonts w:ascii="仿宋_GB2312" w:hAnsi="仿宋_GB2312" w:eastAsia="仿宋_GB2312"/>
          <w:sz w:val="32"/>
        </w:rPr>
        <w:t>坚持和加强党对工作的集中统一领导，贯彻落实党中央关于工作的方针政策和决策部署以及自治区、自治州、市委关于工作的部署要求和重大举措。调查了解工作情况</w:t>
      </w:r>
      <w:r>
        <w:rPr>
          <w:rFonts w:hint="eastAsia" w:ascii="仿宋_GB2312" w:hAnsi="仿宋_GB2312" w:eastAsia="仿宋_GB2312"/>
          <w:sz w:val="32"/>
          <w:lang w:eastAsia="zh-CN"/>
        </w:rPr>
        <w:t>，并</w:t>
      </w:r>
      <w:r>
        <w:rPr>
          <w:rFonts w:ascii="仿宋_GB2312" w:hAnsi="仿宋_GB2312" w:eastAsia="仿宋_GB2312"/>
          <w:sz w:val="32"/>
        </w:rPr>
        <w:t>准确地向市委反映情况</w:t>
      </w:r>
      <w:r>
        <w:rPr>
          <w:rFonts w:hint="eastAsia" w:ascii="仿宋_GB2312" w:hAnsi="仿宋_GB2312" w:eastAsia="仿宋_GB2312"/>
          <w:sz w:val="32"/>
          <w:lang w:eastAsia="zh-CN"/>
        </w:rPr>
        <w:t>，</w:t>
      </w:r>
      <w:r>
        <w:rPr>
          <w:rFonts w:ascii="仿宋_GB2312" w:hAnsi="仿宋_GB2312" w:eastAsia="仿宋_GB2312"/>
          <w:sz w:val="32"/>
        </w:rPr>
        <w:t>提出开展工作的</w:t>
      </w:r>
      <w:r>
        <w:rPr>
          <w:rFonts w:hint="eastAsia" w:ascii="仿宋_GB2312" w:hAnsi="仿宋_GB2312" w:eastAsia="仿宋_GB2312"/>
          <w:sz w:val="32"/>
          <w:lang w:eastAsia="zh-CN"/>
        </w:rPr>
        <w:t>建议</w:t>
      </w:r>
      <w:r>
        <w:rPr>
          <w:rFonts w:ascii="仿宋_GB2312" w:hAnsi="仿宋_GB2312" w:eastAsia="仿宋_GB2312"/>
          <w:sz w:val="32"/>
        </w:rPr>
        <w:t>。</w:t>
      </w:r>
    </w:p>
    <w:p w14:paraId="2FF8B381">
      <w:pPr>
        <w:spacing w:line="640" w:lineRule="exact"/>
        <w:ind w:firstLine="640"/>
        <w:jc w:val="both"/>
        <w:outlineLvl w:val="2"/>
      </w:pPr>
      <w:r>
        <w:rPr>
          <w:rFonts w:ascii="黑体" w:hAnsi="黑体" w:eastAsia="黑体"/>
          <w:sz w:val="32"/>
        </w:rPr>
        <w:t>二、机构设置及人员情况</w:t>
      </w:r>
    </w:p>
    <w:p w14:paraId="1E49C01C">
      <w:pPr>
        <w:spacing w:line="580" w:lineRule="exact"/>
        <w:ind w:firstLine="640"/>
        <w:jc w:val="both"/>
      </w:pPr>
      <w:r>
        <w:rPr>
          <w:rFonts w:ascii="仿宋_GB2312" w:hAnsi="仿宋_GB2312" w:eastAsia="仿宋_GB2312"/>
          <w:sz w:val="32"/>
        </w:rPr>
        <w:t>中共阿图什市委员会统战部2024年度，实有人数34人，其中：在职人员23人，增加1人；离休人员0人，增加0人；退休人员11人,增加1人。</w:t>
      </w:r>
    </w:p>
    <w:p w14:paraId="6E306502">
      <w:pPr>
        <w:spacing w:line="580" w:lineRule="exact"/>
        <w:ind w:firstLine="640"/>
        <w:jc w:val="both"/>
      </w:pPr>
      <w:r>
        <w:rPr>
          <w:rFonts w:ascii="仿宋_GB2312" w:hAnsi="仿宋_GB2312" w:eastAsia="仿宋_GB2312"/>
          <w:sz w:val="32"/>
        </w:rPr>
        <w:t>中共阿图什市委员会统战部无下属预算单位，下设6个科室，分别是：办公一室、办公二室、办公三室、办公四室、办公五室、办公六室。</w:t>
      </w:r>
    </w:p>
    <w:p w14:paraId="080E4267">
      <w:r>
        <w:br w:type="page"/>
      </w:r>
    </w:p>
    <w:p w14:paraId="45569307">
      <w:pPr>
        <w:spacing w:line="240" w:lineRule="auto"/>
        <w:jc w:val="center"/>
        <w:outlineLvl w:val="1"/>
      </w:pPr>
      <w:r>
        <w:rPr>
          <w:rFonts w:ascii="黑体" w:hAnsi="黑体" w:eastAsia="黑体"/>
          <w:sz w:val="32"/>
        </w:rPr>
        <w:t>第二部分 部门决算情况说明</w:t>
      </w:r>
    </w:p>
    <w:p w14:paraId="114D23EB">
      <w:pPr>
        <w:spacing w:line="640" w:lineRule="exact"/>
        <w:ind w:firstLine="640"/>
        <w:jc w:val="both"/>
        <w:outlineLvl w:val="2"/>
      </w:pPr>
      <w:r>
        <w:rPr>
          <w:rFonts w:ascii="黑体" w:hAnsi="黑体" w:eastAsia="黑体"/>
          <w:sz w:val="32"/>
        </w:rPr>
        <w:t>一、收入支出决算总体情况说明</w:t>
      </w:r>
    </w:p>
    <w:p w14:paraId="0E96DE01">
      <w:pPr>
        <w:spacing w:line="580" w:lineRule="exact"/>
        <w:ind w:firstLine="640"/>
        <w:jc w:val="both"/>
      </w:pPr>
      <w:r>
        <w:rPr>
          <w:rFonts w:ascii="仿宋_GB2312" w:hAnsi="仿宋_GB2312" w:eastAsia="仿宋_GB2312"/>
          <w:b/>
          <w:sz w:val="32"/>
        </w:rPr>
        <w:t>2024年度收入总计1,121.64万元，</w:t>
      </w:r>
      <w:r>
        <w:rPr>
          <w:rFonts w:ascii="仿宋_GB2312" w:hAnsi="仿宋_GB2312" w:eastAsia="仿宋_GB2312"/>
          <w:b w:val="0"/>
          <w:sz w:val="32"/>
        </w:rPr>
        <w:t>其中：本年收入合计1,121.51万元，使用非财政拨款结余（含专用结余）0.00万元，年初结转和结余0.13万元。</w:t>
      </w:r>
    </w:p>
    <w:p w14:paraId="031C2690">
      <w:pPr>
        <w:spacing w:line="580" w:lineRule="exact"/>
        <w:ind w:firstLine="640"/>
        <w:jc w:val="both"/>
      </w:pPr>
      <w:r>
        <w:rPr>
          <w:rFonts w:ascii="仿宋_GB2312" w:hAnsi="仿宋_GB2312" w:eastAsia="仿宋_GB2312"/>
          <w:b/>
          <w:sz w:val="32"/>
        </w:rPr>
        <w:t>2024年度支出总计1,121.64万元，</w:t>
      </w:r>
      <w:r>
        <w:rPr>
          <w:rFonts w:ascii="仿宋_GB2312" w:hAnsi="仿宋_GB2312" w:eastAsia="仿宋_GB2312"/>
          <w:b w:val="0"/>
          <w:sz w:val="32"/>
        </w:rPr>
        <w:t>其中：本年支出合计1,121.51万元，结余分配0.00万元，年末结转和结余0.13万元。</w:t>
      </w:r>
    </w:p>
    <w:p w14:paraId="2DBECC68">
      <w:pPr>
        <w:spacing w:line="580" w:lineRule="exact"/>
        <w:ind w:firstLine="640"/>
        <w:jc w:val="both"/>
      </w:pPr>
      <w:r>
        <w:rPr>
          <w:rFonts w:ascii="仿宋_GB2312" w:hAnsi="仿宋_GB2312" w:eastAsia="仿宋_GB2312"/>
          <w:b w:val="0"/>
          <w:sz w:val="32"/>
        </w:rPr>
        <w:t>收入支出总体与上年相比，减少578.43万元，下降34.02%，主要原因是：本年减少管委会工作经费、管委会水电暖费、工作人员生活补贴、卫生室修缮资金项目经费。</w:t>
      </w:r>
    </w:p>
    <w:p w14:paraId="17138F24">
      <w:pPr>
        <w:spacing w:line="640" w:lineRule="exact"/>
        <w:ind w:firstLine="640"/>
        <w:jc w:val="both"/>
        <w:outlineLvl w:val="2"/>
      </w:pPr>
      <w:r>
        <w:rPr>
          <w:rFonts w:ascii="黑体" w:hAnsi="黑体" w:eastAsia="黑体"/>
          <w:sz w:val="32"/>
        </w:rPr>
        <w:t>二、收入决算情况说明</w:t>
      </w:r>
    </w:p>
    <w:p w14:paraId="6501D85F">
      <w:pPr>
        <w:spacing w:line="580" w:lineRule="exact"/>
        <w:ind w:firstLine="640"/>
        <w:jc w:val="both"/>
      </w:pPr>
      <w:r>
        <w:rPr>
          <w:rFonts w:ascii="仿宋_GB2312" w:hAnsi="仿宋_GB2312" w:eastAsia="仿宋_GB2312"/>
          <w:b/>
          <w:sz w:val="32"/>
        </w:rPr>
        <w:t>本年收入1,121.51万元，</w:t>
      </w:r>
      <w:r>
        <w:rPr>
          <w:rFonts w:ascii="仿宋_GB2312" w:hAnsi="仿宋_GB2312" w:eastAsia="仿宋_GB2312"/>
          <w:b w:val="0"/>
          <w:sz w:val="32"/>
        </w:rPr>
        <w:t>其中：财政拨款收入1,121.51万元，占100.00%；上级补助收入0.00万元，占0.00%；事业收入0.00万元，占0.00%；经营收入0.00万元，占0.00%；附属单位上缴收入0.00万元，占0.00%；其他收入0.00万元，占0.00%。</w:t>
      </w:r>
    </w:p>
    <w:p w14:paraId="272A7B02">
      <w:pPr>
        <w:spacing w:line="640" w:lineRule="exact"/>
        <w:ind w:firstLine="640"/>
        <w:jc w:val="both"/>
        <w:outlineLvl w:val="2"/>
      </w:pPr>
      <w:r>
        <w:rPr>
          <w:rFonts w:ascii="黑体" w:hAnsi="黑体" w:eastAsia="黑体"/>
          <w:sz w:val="32"/>
        </w:rPr>
        <w:t>三、支出决算情况说明</w:t>
      </w:r>
    </w:p>
    <w:p w14:paraId="6ADAED42">
      <w:pPr>
        <w:spacing w:line="580" w:lineRule="exact"/>
        <w:ind w:firstLine="640"/>
        <w:jc w:val="both"/>
      </w:pPr>
      <w:r>
        <w:rPr>
          <w:rFonts w:ascii="仿宋_GB2312" w:hAnsi="仿宋_GB2312" w:eastAsia="仿宋_GB2312"/>
          <w:b/>
          <w:sz w:val="32"/>
        </w:rPr>
        <w:t>本年支出1,121.51万元，</w:t>
      </w:r>
      <w:r>
        <w:rPr>
          <w:rFonts w:ascii="仿宋_GB2312" w:hAnsi="仿宋_GB2312" w:eastAsia="仿宋_GB2312"/>
          <w:b w:val="0"/>
          <w:sz w:val="32"/>
        </w:rPr>
        <w:t>其中：基本支出412.14万元，占36.75%；项目支出709.37万元，占63.25%；上缴上级支出0.00万元，占0.00%；经营支出0.00万元，占0.00%；对附属单位补助支出0.00万元，占0.00%。</w:t>
      </w:r>
    </w:p>
    <w:p w14:paraId="25DC54D1">
      <w:pPr>
        <w:spacing w:line="640" w:lineRule="exact"/>
        <w:ind w:firstLine="640"/>
        <w:jc w:val="both"/>
        <w:outlineLvl w:val="2"/>
      </w:pPr>
      <w:r>
        <w:rPr>
          <w:rFonts w:ascii="黑体" w:hAnsi="黑体" w:eastAsia="黑体"/>
          <w:sz w:val="32"/>
        </w:rPr>
        <w:t>四、财政拨款收入支出决算总体情况说明</w:t>
      </w:r>
    </w:p>
    <w:p w14:paraId="7BE0011B">
      <w:pPr>
        <w:spacing w:line="580" w:lineRule="exact"/>
        <w:ind w:firstLine="640"/>
        <w:jc w:val="both"/>
      </w:pPr>
      <w:r>
        <w:rPr>
          <w:rFonts w:ascii="仿宋_GB2312" w:hAnsi="仿宋_GB2312" w:eastAsia="仿宋_GB2312"/>
          <w:b/>
          <w:sz w:val="32"/>
        </w:rPr>
        <w:t>2024年度财政拨款收入总计1,121.51万元，</w:t>
      </w:r>
      <w:r>
        <w:rPr>
          <w:rFonts w:ascii="仿宋_GB2312" w:hAnsi="仿宋_GB2312" w:eastAsia="仿宋_GB2312"/>
          <w:b w:val="0"/>
          <w:sz w:val="32"/>
        </w:rPr>
        <w:t>其中：年初财政拨款结转和结余0.00万元，本年财政拨款收入1,121.51万元。</w:t>
      </w:r>
      <w:r>
        <w:rPr>
          <w:rFonts w:ascii="仿宋_GB2312" w:hAnsi="仿宋_GB2312" w:eastAsia="仿宋_GB2312"/>
          <w:b/>
          <w:sz w:val="32"/>
        </w:rPr>
        <w:t>财政拨款支出总计1,121.51万元，</w:t>
      </w:r>
      <w:r>
        <w:rPr>
          <w:rFonts w:ascii="仿宋_GB2312" w:hAnsi="仿宋_GB2312" w:eastAsia="仿宋_GB2312"/>
          <w:b w:val="0"/>
          <w:sz w:val="32"/>
        </w:rPr>
        <w:t>其中：年末财政拨款结转和结余0.00万元，本年财政拨款支出1,121.51万元。</w:t>
      </w:r>
    </w:p>
    <w:p w14:paraId="7D3A3A7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减少397.26万元，下降26.16%，主要原因是：本年减少管委会工作经费、管委会水电暖费、工作人员生活补贴项目。</w:t>
      </w:r>
      <w:r>
        <w:rPr>
          <w:rFonts w:ascii="仿宋_GB2312" w:hAnsi="仿宋_GB2312" w:eastAsia="仿宋_GB2312"/>
          <w:b/>
          <w:sz w:val="32"/>
        </w:rPr>
        <w:t>与年初预算相比，</w:t>
      </w:r>
      <w:r>
        <w:rPr>
          <w:rFonts w:ascii="仿宋_GB2312" w:hAnsi="仿宋_GB2312" w:eastAsia="仿宋_GB2312"/>
          <w:b w:val="0"/>
          <w:sz w:val="32"/>
        </w:rPr>
        <w:t>年初预算数909.04万元，决算数1,121.51万元，预决算差异率23.37%，主要原因是：年中追加培训经费、生活补贴资金、修缮经费、低氟边销茶项目，导致预决算存在差异。</w:t>
      </w:r>
    </w:p>
    <w:p w14:paraId="78F7395A">
      <w:pPr>
        <w:spacing w:line="640" w:lineRule="exact"/>
        <w:ind w:firstLine="640"/>
        <w:jc w:val="both"/>
        <w:outlineLvl w:val="2"/>
      </w:pPr>
      <w:r>
        <w:rPr>
          <w:rFonts w:ascii="黑体" w:hAnsi="黑体" w:eastAsia="黑体"/>
          <w:sz w:val="32"/>
        </w:rPr>
        <w:t>五、一般公共预算财政拨款支出决算情况说明</w:t>
      </w:r>
    </w:p>
    <w:p w14:paraId="7C1D8F22">
      <w:pPr>
        <w:spacing w:line="640" w:lineRule="exact"/>
        <w:ind w:firstLine="640"/>
        <w:jc w:val="both"/>
        <w:outlineLvl w:val="3"/>
      </w:pPr>
      <w:r>
        <w:rPr>
          <w:rFonts w:ascii="楷体_GB2312" w:hAnsi="楷体_GB2312" w:eastAsia="楷体_GB2312"/>
          <w:b/>
          <w:sz w:val="32"/>
        </w:rPr>
        <w:t>（一）一般公共预算财政拨款支出决算总体情况</w:t>
      </w:r>
    </w:p>
    <w:p w14:paraId="240297F2">
      <w:pPr>
        <w:spacing w:line="580" w:lineRule="exact"/>
        <w:ind w:firstLine="640"/>
        <w:jc w:val="both"/>
      </w:pPr>
      <w:r>
        <w:rPr>
          <w:rFonts w:ascii="仿宋_GB2312" w:hAnsi="仿宋_GB2312" w:eastAsia="仿宋_GB2312"/>
          <w:b/>
          <w:sz w:val="32"/>
        </w:rPr>
        <w:t>2024年度一般公共预算财政拨款支出1,121.51万元，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减少397.26万元，下降26.16%，主要原因是：本年减少管委会工作经费、管委会水电暖费、工作人员生活补贴等项目。</w:t>
      </w:r>
      <w:r>
        <w:rPr>
          <w:rFonts w:ascii="仿宋_GB2312" w:hAnsi="仿宋_GB2312" w:eastAsia="仿宋_GB2312"/>
          <w:b/>
          <w:sz w:val="32"/>
        </w:rPr>
        <w:t>与年初预算相比,</w:t>
      </w:r>
      <w:r>
        <w:rPr>
          <w:rFonts w:ascii="仿宋_GB2312" w:hAnsi="仿宋_GB2312" w:eastAsia="仿宋_GB2312"/>
          <w:b w:val="0"/>
          <w:sz w:val="32"/>
        </w:rPr>
        <w:t>年初预算数909.04万元，决算数1,121.51万元，预决算差异率23.37%，主要原因是：年中追加培训经费、生活补贴资金、修缮经费、低氟边销茶项目，导致预决算存在差异。</w:t>
      </w:r>
    </w:p>
    <w:p w14:paraId="2EF741E3">
      <w:pPr>
        <w:spacing w:line="640" w:lineRule="exact"/>
        <w:ind w:firstLine="640"/>
        <w:jc w:val="both"/>
        <w:outlineLvl w:val="3"/>
      </w:pPr>
      <w:r>
        <w:rPr>
          <w:rFonts w:ascii="楷体_GB2312" w:hAnsi="楷体_GB2312" w:eastAsia="楷体_GB2312"/>
          <w:b/>
          <w:sz w:val="32"/>
        </w:rPr>
        <w:t>（二）一般公共预算财政拨款支出决算结构情况</w:t>
      </w:r>
    </w:p>
    <w:p w14:paraId="5EFE1EA7">
      <w:pPr>
        <w:spacing w:line="580" w:lineRule="exact"/>
        <w:ind w:firstLine="640"/>
        <w:jc w:val="both"/>
      </w:pPr>
      <w:r>
        <w:rPr>
          <w:rFonts w:ascii="仿宋_GB2312" w:hAnsi="仿宋_GB2312" w:eastAsia="仿宋_GB2312"/>
          <w:b w:val="0"/>
          <w:sz w:val="32"/>
        </w:rPr>
        <w:t>1.一般公共服务支出(类)1,000.16万元,占89.18%。</w:t>
      </w:r>
    </w:p>
    <w:p w14:paraId="08A210B0">
      <w:pPr>
        <w:spacing w:line="580" w:lineRule="exact"/>
        <w:ind w:firstLine="640"/>
        <w:jc w:val="both"/>
      </w:pPr>
      <w:r>
        <w:rPr>
          <w:rFonts w:ascii="仿宋_GB2312" w:hAnsi="仿宋_GB2312" w:eastAsia="仿宋_GB2312"/>
          <w:b w:val="0"/>
          <w:sz w:val="32"/>
        </w:rPr>
        <w:t>2.社会保障和就业支出(类)66.45万元,占5.93%。</w:t>
      </w:r>
    </w:p>
    <w:p w14:paraId="2F13201B">
      <w:pPr>
        <w:spacing w:line="580" w:lineRule="exact"/>
        <w:ind w:firstLine="640"/>
        <w:jc w:val="both"/>
      </w:pPr>
      <w:r>
        <w:rPr>
          <w:rFonts w:ascii="仿宋_GB2312" w:hAnsi="仿宋_GB2312" w:eastAsia="仿宋_GB2312"/>
          <w:b w:val="0"/>
          <w:sz w:val="32"/>
        </w:rPr>
        <w:t>3.卫生健康支出(类)13.65万元,占1.22%。</w:t>
      </w:r>
    </w:p>
    <w:p w14:paraId="6AF4FBFB">
      <w:pPr>
        <w:spacing w:line="580" w:lineRule="exact"/>
        <w:ind w:firstLine="640"/>
        <w:jc w:val="both"/>
      </w:pPr>
      <w:r>
        <w:rPr>
          <w:rFonts w:ascii="仿宋_GB2312" w:hAnsi="仿宋_GB2312" w:eastAsia="仿宋_GB2312"/>
          <w:b w:val="0"/>
          <w:sz w:val="32"/>
        </w:rPr>
        <w:t>4.商业服务业等支出(类)12.09万元,占1.08%。</w:t>
      </w:r>
    </w:p>
    <w:p w14:paraId="480494FD">
      <w:pPr>
        <w:spacing w:line="580" w:lineRule="exact"/>
        <w:ind w:firstLine="640"/>
        <w:jc w:val="both"/>
      </w:pPr>
      <w:r>
        <w:rPr>
          <w:rFonts w:ascii="仿宋_GB2312" w:hAnsi="仿宋_GB2312" w:eastAsia="仿宋_GB2312"/>
          <w:b w:val="0"/>
          <w:sz w:val="32"/>
        </w:rPr>
        <w:t>5.住房保障支出(类)29.15万元,占2.60%。</w:t>
      </w:r>
    </w:p>
    <w:p w14:paraId="0C2B4371">
      <w:pPr>
        <w:spacing w:line="640" w:lineRule="exact"/>
        <w:ind w:firstLine="640"/>
        <w:jc w:val="both"/>
        <w:outlineLvl w:val="3"/>
      </w:pPr>
      <w:r>
        <w:rPr>
          <w:rFonts w:ascii="楷体_GB2312" w:hAnsi="楷体_GB2312" w:eastAsia="楷体_GB2312"/>
          <w:b/>
          <w:sz w:val="32"/>
        </w:rPr>
        <w:t>（三）一般公共预算财政拨款支出决算具体情况</w:t>
      </w:r>
    </w:p>
    <w:p w14:paraId="67E4E3EF">
      <w:pPr>
        <w:spacing w:line="580" w:lineRule="exact"/>
        <w:ind w:firstLine="640"/>
        <w:jc w:val="both"/>
      </w:pPr>
      <w:r>
        <w:rPr>
          <w:rFonts w:ascii="仿宋_GB2312" w:hAnsi="仿宋_GB2312" w:eastAsia="仿宋_GB2312"/>
          <w:b w:val="0"/>
          <w:sz w:val="32"/>
        </w:rPr>
        <w:t>1.一般公共服务支出(类)组织事务(款)其他组织事务支出(项):支出决算数为0.86万元，比上年决算减少1.64万元，下降65.60%,主要原因是：本年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工作队厉行节约，相应经费使用减少。</w:t>
      </w:r>
    </w:p>
    <w:p w14:paraId="490928E1">
      <w:pPr>
        <w:spacing w:line="580" w:lineRule="exact"/>
        <w:ind w:firstLine="640"/>
        <w:jc w:val="both"/>
      </w:pPr>
      <w:r>
        <w:rPr>
          <w:rFonts w:ascii="仿宋_GB2312" w:hAnsi="仿宋_GB2312" w:eastAsia="仿宋_GB2312"/>
          <w:b w:val="0"/>
          <w:sz w:val="32"/>
        </w:rPr>
        <w:t>2.一般公共服务支出(类)统战事务(款)行政运行(项):支出决算数为226.75万元，比上年决算减少15.80万元，下降6.51%,主要原因是：本年行政退休增加，年末调入人员，人员职级不同，工资基数不同，导致人员经费较上年减少。</w:t>
      </w:r>
    </w:p>
    <w:p w14:paraId="14300025">
      <w:pPr>
        <w:spacing w:line="580" w:lineRule="exact"/>
        <w:ind w:firstLine="640"/>
        <w:jc w:val="both"/>
      </w:pPr>
      <w:r>
        <w:rPr>
          <w:rFonts w:ascii="仿宋_GB2312" w:hAnsi="仿宋_GB2312" w:eastAsia="仿宋_GB2312"/>
          <w:b w:val="0"/>
          <w:sz w:val="32"/>
        </w:rPr>
        <w:t>3.一般公共服务支出(类)统战事务(款)宗教事务(项):支出决算数为349.14万元，比上年决算减少168.03万元，下降32.49%,主要原因是：本年减少管委会工作经费、工作人员生活补贴。</w:t>
      </w:r>
    </w:p>
    <w:p w14:paraId="69FB4E8F">
      <w:pPr>
        <w:spacing w:line="580" w:lineRule="exact"/>
        <w:ind w:firstLine="640"/>
        <w:jc w:val="both"/>
      </w:pPr>
      <w:r>
        <w:rPr>
          <w:rFonts w:ascii="仿宋_GB2312" w:hAnsi="仿宋_GB2312" w:eastAsia="仿宋_GB2312"/>
          <w:b w:val="0"/>
          <w:sz w:val="32"/>
        </w:rPr>
        <w:t>4.一般公共服务支出(类)统战事务(款)华侨事务(项):支出决算数为0.88万元，比上年决算增加0.88万元，增长100.00%,主要原因是：本年功能科目调整，归国华侨联合会工作经费</w:t>
      </w:r>
      <w:r>
        <w:rPr>
          <w:rFonts w:hint="eastAsia" w:ascii="仿宋_GB2312" w:hAnsi="仿宋_GB2312" w:eastAsia="仿宋_GB2312"/>
          <w:b w:val="0"/>
          <w:sz w:val="32"/>
          <w:lang w:val="en-US" w:eastAsia="zh-CN"/>
        </w:rPr>
        <w:t>上年在主科目列支，</w:t>
      </w:r>
      <w:r>
        <w:rPr>
          <w:rFonts w:ascii="仿宋_GB2312" w:hAnsi="仿宋_GB2312" w:eastAsia="仿宋_GB2312"/>
          <w:b w:val="0"/>
          <w:sz w:val="32"/>
        </w:rPr>
        <w:t>本年度单独列支，导致经费较上年增加。</w:t>
      </w:r>
    </w:p>
    <w:p w14:paraId="61576E6B">
      <w:pPr>
        <w:spacing w:line="580" w:lineRule="exact"/>
        <w:ind w:firstLine="640"/>
        <w:jc w:val="both"/>
      </w:pPr>
      <w:r>
        <w:rPr>
          <w:rFonts w:ascii="仿宋_GB2312" w:hAnsi="仿宋_GB2312" w:eastAsia="仿宋_GB2312"/>
          <w:b w:val="0"/>
          <w:sz w:val="32"/>
        </w:rPr>
        <w:t>5.一般公共服务支出(类)统战事务(款)事业运行(项):支出决算数为76.13万元，比上年决算增加13.62万元，增长21.79%,主要原因是：本年在职人员工资调增，人员经费增加，导致经费较上年有所增加。</w:t>
      </w:r>
    </w:p>
    <w:p w14:paraId="0ED017FE">
      <w:pPr>
        <w:spacing w:line="580" w:lineRule="exact"/>
        <w:ind w:firstLine="640"/>
        <w:jc w:val="both"/>
      </w:pPr>
      <w:r>
        <w:rPr>
          <w:rFonts w:ascii="仿宋_GB2312" w:hAnsi="仿宋_GB2312" w:eastAsia="仿宋_GB2312"/>
          <w:b w:val="0"/>
          <w:sz w:val="32"/>
        </w:rPr>
        <w:t>6.一般公共服务支出(类)统战事务(款)其他统战事务支出(项):支出决算数为346.39万元，比上年决算增加63.94万元，增长22.64%,主要原因是：本年功能科目调整，低氟边销茶采购项目</w:t>
      </w:r>
      <w:r>
        <w:rPr>
          <w:rFonts w:hint="eastAsia" w:ascii="仿宋_GB2312" w:hAnsi="仿宋_GB2312" w:eastAsia="仿宋_GB2312"/>
          <w:b w:val="0"/>
          <w:sz w:val="32"/>
          <w:lang w:val="en-US" w:eastAsia="zh-CN"/>
        </w:rPr>
        <w:t>由</w:t>
      </w:r>
      <w:r>
        <w:rPr>
          <w:rFonts w:ascii="仿宋_GB2312" w:hAnsi="仿宋_GB2312" w:eastAsia="仿宋_GB2312"/>
          <w:b w:val="0"/>
          <w:sz w:val="32"/>
        </w:rPr>
        <w:t>生产发展调整至其他统战事务支出。</w:t>
      </w:r>
    </w:p>
    <w:p w14:paraId="53283F38">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7.社会保障和就业支出(类)行政事业单位养老支出(款)行政单位离退休(项):支出决算数为15.15万元，比上年决算增加4.04万元，增长36.36%,主要原因是：本年退休人员增加，退休费支出增加。</w:t>
      </w:r>
    </w:p>
    <w:p w14:paraId="2A0C649A">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36.22万元，比上年决算减少0.44万元，下降1.20%,主要原因是：本年年末在职人员增加，行政退休人员增加，人员职级不同，缴费基数不同，导致养老保险缴费较上年减少。</w:t>
      </w:r>
    </w:p>
    <w:p w14:paraId="3B955999">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9.社会保障和就业支出(类)行政事业单位养老支出(款)机关事业单位职业年金缴费支出(项):支出决算数为15.09万元，比上年决算增加8.07万元，增长114.96%,主要原因是：本年新增退休人员，职业年金缴费支出增加。</w:t>
      </w:r>
    </w:p>
    <w:p w14:paraId="0DAB8C46">
      <w:pPr>
        <w:spacing w:line="580" w:lineRule="exact"/>
        <w:ind w:firstLine="640"/>
        <w:jc w:val="both"/>
      </w:pPr>
      <w:r>
        <w:rPr>
          <w:rFonts w:ascii="仿宋_GB2312" w:hAnsi="仿宋_GB2312" w:eastAsia="仿宋_GB2312"/>
          <w:b w:val="0"/>
          <w:sz w:val="32"/>
        </w:rPr>
        <w:t>10.卫生健康支出(类)行政事业单位医疗(款)行政单位医疗(项):支出决算数为10.97万元，比上年决算减少0.70万元，下降6.00%,主要原因是：本年在职人员增加，退休1人，人员职级不同，缴费基数不同，导致行政单位医疗较上年减少。</w:t>
      </w:r>
    </w:p>
    <w:p w14:paraId="7A4DB293">
      <w:pPr>
        <w:spacing w:line="580" w:lineRule="exact"/>
        <w:ind w:firstLine="640"/>
        <w:jc w:val="both"/>
      </w:pPr>
      <w:r>
        <w:rPr>
          <w:rFonts w:ascii="仿宋_GB2312" w:hAnsi="仿宋_GB2312" w:eastAsia="仿宋_GB2312"/>
          <w:b w:val="0"/>
          <w:sz w:val="32"/>
        </w:rPr>
        <w:t>11.卫生健康支出(类)行政事业单位医疗(款)事业单位医疗(项):支出决算数为2.68万元，比上年决算增加0.17万元，增长6.77%,主要原因是：本年在职人员工资基数调增，医疗缴费基数上涨，相应支出增加。</w:t>
      </w:r>
    </w:p>
    <w:p w14:paraId="17AC4EE0">
      <w:pPr>
        <w:spacing w:line="580" w:lineRule="exact"/>
        <w:ind w:firstLine="640"/>
        <w:jc w:val="both"/>
      </w:pPr>
      <w:r>
        <w:rPr>
          <w:rFonts w:ascii="仿宋_GB2312" w:hAnsi="仿宋_GB2312" w:eastAsia="仿宋_GB2312"/>
          <w:b w:val="0"/>
          <w:sz w:val="32"/>
        </w:rPr>
        <w:t>12.农林水支出(类)巩固脱贫攻坚成果衔接乡村振兴(款)生产发展(项):支出决算数为0.00万元，比上年决算减少15.00万元，下降100.00%,主要原因是：本年功能科目调整，低氟边销茶采购项目</w:t>
      </w:r>
      <w:r>
        <w:rPr>
          <w:rFonts w:hint="eastAsia" w:ascii="仿宋_GB2312" w:hAnsi="仿宋_GB2312" w:eastAsia="仿宋_GB2312"/>
          <w:b w:val="0"/>
          <w:sz w:val="32"/>
          <w:lang w:val="en-US" w:eastAsia="zh-CN"/>
        </w:rPr>
        <w:t>由</w:t>
      </w:r>
      <w:r>
        <w:rPr>
          <w:rFonts w:ascii="仿宋_GB2312" w:hAnsi="仿宋_GB2312" w:eastAsia="仿宋_GB2312"/>
          <w:b w:val="0"/>
          <w:sz w:val="32"/>
        </w:rPr>
        <w:t>生产发展调整至其他统战事务支出。</w:t>
      </w:r>
    </w:p>
    <w:p w14:paraId="02308B62">
      <w:pPr>
        <w:spacing w:line="580" w:lineRule="exact"/>
        <w:ind w:firstLine="640"/>
        <w:jc w:val="both"/>
      </w:pPr>
      <w:r>
        <w:rPr>
          <w:rFonts w:ascii="仿宋_GB2312" w:hAnsi="仿宋_GB2312" w:eastAsia="仿宋_GB2312"/>
          <w:b w:val="0"/>
          <w:sz w:val="32"/>
        </w:rPr>
        <w:t>13.商业服务业等支出(类)商业流通事务(款)民贸民品贷款贴息(项):支出决算数为12.09万元，比上年决算减少284.30万元，下降95.92%,主要原因是：本年民贸民品贷款贴息资金项目资金减少。</w:t>
      </w:r>
    </w:p>
    <w:p w14:paraId="59B714B2">
      <w:pPr>
        <w:spacing w:line="580" w:lineRule="exact"/>
        <w:ind w:firstLine="640"/>
        <w:jc w:val="both"/>
      </w:pPr>
      <w:r>
        <w:rPr>
          <w:rFonts w:ascii="仿宋_GB2312" w:hAnsi="仿宋_GB2312" w:eastAsia="仿宋_GB2312"/>
          <w:b w:val="0"/>
          <w:sz w:val="32"/>
        </w:rPr>
        <w:t>14.住房保障支出(类)住房改革支出(款)住房公积金(项):支出决算数为29.15万元，比上年决算减少2.07万元，下降6.63%,主要原因是：本年退休增加，年末调入人员增加，人员职级不同，缴费基数不同，导致住房公积金较上年减少。</w:t>
      </w:r>
    </w:p>
    <w:p w14:paraId="2B699291">
      <w:pPr>
        <w:spacing w:line="640" w:lineRule="exact"/>
        <w:ind w:firstLine="640"/>
        <w:jc w:val="both"/>
        <w:outlineLvl w:val="2"/>
      </w:pPr>
      <w:r>
        <w:rPr>
          <w:rFonts w:ascii="黑体" w:hAnsi="黑体" w:eastAsia="黑体"/>
          <w:sz w:val="32"/>
        </w:rPr>
        <w:t>六、一般公共预算财政拨款基本支出决算情况说明</w:t>
      </w:r>
    </w:p>
    <w:p w14:paraId="5933EBB6">
      <w:pPr>
        <w:spacing w:line="580" w:lineRule="exact"/>
        <w:ind w:firstLine="640"/>
        <w:jc w:val="both"/>
      </w:pPr>
      <w:r>
        <w:rPr>
          <w:rFonts w:ascii="仿宋_GB2312" w:hAnsi="仿宋_GB2312" w:eastAsia="仿宋_GB2312"/>
          <w:b w:val="0"/>
          <w:sz w:val="32"/>
        </w:rPr>
        <w:t>2024年度一般公共预算财政拨款基本支出412.14万元，其中：</w:t>
      </w:r>
      <w:r>
        <w:rPr>
          <w:rFonts w:ascii="仿宋_GB2312" w:hAnsi="仿宋_GB2312" w:eastAsia="仿宋_GB2312"/>
          <w:b/>
          <w:sz w:val="32"/>
        </w:rPr>
        <w:t>人员经费406.96万元，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681BAB91">
      <w:pPr>
        <w:spacing w:line="580" w:lineRule="exact"/>
        <w:ind w:firstLine="640"/>
        <w:jc w:val="both"/>
      </w:pPr>
      <w:r>
        <w:rPr>
          <w:rFonts w:ascii="仿宋_GB2312" w:hAnsi="仿宋_GB2312" w:eastAsia="仿宋_GB2312"/>
          <w:b/>
          <w:sz w:val="32"/>
        </w:rPr>
        <w:t>公用经费5.17万元，</w:t>
      </w:r>
      <w:r>
        <w:rPr>
          <w:rFonts w:ascii="仿宋_GB2312" w:hAnsi="仿宋_GB2312" w:eastAsia="仿宋_GB2312"/>
          <w:b w:val="0"/>
          <w:sz w:val="32"/>
        </w:rPr>
        <w:t>包括：办公费、邮电费、差旅费、公务用车运行维护费。</w:t>
      </w:r>
    </w:p>
    <w:p w14:paraId="5C208681">
      <w:pPr>
        <w:spacing w:line="640" w:lineRule="exact"/>
        <w:ind w:firstLine="640"/>
        <w:jc w:val="both"/>
        <w:outlineLvl w:val="2"/>
      </w:pPr>
      <w:r>
        <w:rPr>
          <w:rFonts w:ascii="黑体" w:hAnsi="黑体" w:eastAsia="黑体"/>
          <w:sz w:val="32"/>
        </w:rPr>
        <w:t>七、政府性基金预算财政拨款收入支出决算情况说明</w:t>
      </w:r>
    </w:p>
    <w:p w14:paraId="30AEC13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26BADFF">
      <w:pPr>
        <w:spacing w:line="640" w:lineRule="exact"/>
        <w:ind w:firstLine="640"/>
        <w:jc w:val="both"/>
        <w:outlineLvl w:val="2"/>
      </w:pPr>
      <w:r>
        <w:rPr>
          <w:rFonts w:ascii="黑体" w:hAnsi="黑体" w:eastAsia="黑体"/>
          <w:sz w:val="32"/>
        </w:rPr>
        <w:t>八、国有资本经营预算财政拨款收入支出决算情况说明</w:t>
      </w:r>
    </w:p>
    <w:p w14:paraId="3A6266A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6887E09">
      <w:pPr>
        <w:spacing w:line="640" w:lineRule="exact"/>
        <w:ind w:firstLine="640"/>
        <w:jc w:val="both"/>
        <w:outlineLvl w:val="2"/>
      </w:pPr>
      <w:r>
        <w:rPr>
          <w:rFonts w:ascii="黑体" w:hAnsi="黑体" w:eastAsia="黑体"/>
          <w:sz w:val="32"/>
        </w:rPr>
        <w:t>九、财政拨款“三公”经费支出决算情况说明</w:t>
      </w:r>
    </w:p>
    <w:p w14:paraId="742B7C70">
      <w:pPr>
        <w:spacing w:line="580" w:lineRule="exact"/>
        <w:ind w:firstLine="640"/>
        <w:jc w:val="both"/>
      </w:pPr>
      <w:r>
        <w:rPr>
          <w:rFonts w:ascii="仿宋_GB2312" w:hAnsi="仿宋_GB2312" w:eastAsia="仿宋_GB2312"/>
          <w:b/>
          <w:sz w:val="32"/>
        </w:rPr>
        <w:t>2024年度财政拨款“三公”经费支出2.34万元，</w:t>
      </w:r>
      <w:r>
        <w:rPr>
          <w:rFonts w:ascii="仿宋_GB2312" w:hAnsi="仿宋_GB2312" w:eastAsia="仿宋_GB2312"/>
          <w:b w:val="0"/>
          <w:sz w:val="32"/>
        </w:rPr>
        <w:t>比上年增加0.04万元，增长1.74%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2.34万元，占100.00%，比上年增加0.04万元，增长1.74%，主要原因是：本年因业务需求，用车次数增加，燃油费增加，导致公务用车运行维护费较上年增加。公务接待费支出0.00万元，占0.00%，比上年增加0.00万元，增长0.00%，主要原因是：2023年与2024年均未安排公务接待费支出。</w:t>
      </w:r>
    </w:p>
    <w:p w14:paraId="14463156">
      <w:pPr>
        <w:spacing w:line="580" w:lineRule="exact"/>
        <w:ind w:firstLine="640"/>
        <w:jc w:val="both"/>
      </w:pPr>
      <w:r>
        <w:rPr>
          <w:rFonts w:ascii="仿宋_GB2312" w:hAnsi="仿宋_GB2312" w:eastAsia="仿宋_GB2312"/>
          <w:b/>
          <w:sz w:val="32"/>
        </w:rPr>
        <w:t>具体情况如下：</w:t>
      </w:r>
    </w:p>
    <w:p w14:paraId="213030C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AD5A24">
      <w:pPr>
        <w:spacing w:line="580" w:lineRule="exact"/>
        <w:ind w:firstLine="640"/>
        <w:jc w:val="both"/>
      </w:pPr>
      <w:r>
        <w:rPr>
          <w:rFonts w:ascii="仿宋_GB2312" w:hAnsi="仿宋_GB2312" w:eastAsia="仿宋_GB2312"/>
          <w:b w:val="0"/>
          <w:sz w:val="32"/>
        </w:rPr>
        <w:t>公务用车购置及运行维护费2.34万元，其中：公务用车购置费0.00万元，公务用车运行维护费2.34万元。公务用车运行维护费开支内容包括车辆加油费、维修费、审车费、过路费等。公务用车购置数0辆，公务用车保有量2辆。国有资产占用情况中固定资产车辆2辆，与公务用车保有量差异原因是：本单位固定资产车辆与公务用车保有量一致无差异。</w:t>
      </w:r>
    </w:p>
    <w:p w14:paraId="1523C1D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DB3DD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万元，决算数2.34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2.34万元，决算数2.34万元，预决算差异率0.00%，主要原因是：严格按照预算执行，预决算无差异。公务接待费全年预算数0.00万元，决算数0.00万元，预决算差异率0.00%，主要原因是：本单位无公务接待费。</w:t>
      </w:r>
    </w:p>
    <w:p w14:paraId="5EF958AB">
      <w:pPr>
        <w:spacing w:line="640" w:lineRule="exact"/>
        <w:ind w:firstLine="640"/>
        <w:jc w:val="both"/>
        <w:outlineLvl w:val="2"/>
      </w:pPr>
      <w:r>
        <w:rPr>
          <w:rFonts w:ascii="黑体" w:hAnsi="黑体" w:eastAsia="黑体"/>
          <w:sz w:val="32"/>
        </w:rPr>
        <w:t>十、其他重要事项的情况说明</w:t>
      </w:r>
    </w:p>
    <w:p w14:paraId="0D2A5C2E">
      <w:pPr>
        <w:spacing w:line="640" w:lineRule="exact"/>
        <w:ind w:firstLine="640"/>
        <w:jc w:val="both"/>
        <w:outlineLvl w:val="3"/>
      </w:pPr>
      <w:r>
        <w:rPr>
          <w:rFonts w:ascii="楷体_GB2312" w:hAnsi="楷体_GB2312" w:eastAsia="楷体_GB2312"/>
          <w:b/>
          <w:sz w:val="32"/>
        </w:rPr>
        <w:t>（一）机关运行经费及公用经费支出情况</w:t>
      </w:r>
    </w:p>
    <w:p w14:paraId="664983A7">
      <w:pPr>
        <w:spacing w:line="580" w:lineRule="exact"/>
        <w:ind w:firstLine="640"/>
        <w:jc w:val="both"/>
      </w:pPr>
      <w:r>
        <w:rPr>
          <w:rFonts w:ascii="仿宋_GB2312" w:hAnsi="仿宋_GB2312" w:eastAsia="仿宋_GB2312"/>
          <w:b w:val="0"/>
          <w:sz w:val="32"/>
        </w:rPr>
        <w:t>2024年度中共阿图什市委员会统战部（行政单位和参照公务员法管理事业单位）机关运行经费支出5.17万元，比上年减少2.16万元，下降29.47%，主要原因是：严格控制经费，合理节约办公用品，减少不必要开支。</w:t>
      </w:r>
    </w:p>
    <w:p w14:paraId="17029859">
      <w:pPr>
        <w:spacing w:line="640" w:lineRule="exact"/>
        <w:ind w:firstLine="640"/>
        <w:jc w:val="both"/>
        <w:outlineLvl w:val="3"/>
      </w:pPr>
      <w:r>
        <w:rPr>
          <w:rFonts w:ascii="楷体_GB2312" w:hAnsi="楷体_GB2312" w:eastAsia="楷体_GB2312"/>
          <w:b/>
          <w:sz w:val="32"/>
        </w:rPr>
        <w:t>（二）政府采购情况</w:t>
      </w:r>
    </w:p>
    <w:p w14:paraId="29CD6048">
      <w:pPr>
        <w:spacing w:line="580" w:lineRule="exact"/>
        <w:ind w:firstLine="640"/>
        <w:jc w:val="both"/>
      </w:pPr>
      <w:r>
        <w:rPr>
          <w:rFonts w:ascii="仿宋_GB2312" w:hAnsi="仿宋_GB2312" w:eastAsia="仿宋_GB2312"/>
          <w:b w:val="0"/>
          <w:sz w:val="32"/>
        </w:rPr>
        <w:t>2024年度政府采购支出总额48.18万元，其中：政府采购货物支出32.69万元、政府采购工程支出0.00万元、政府采购服务支出15.49万元。</w:t>
      </w:r>
    </w:p>
    <w:p w14:paraId="3495E017">
      <w:pPr>
        <w:spacing w:line="580" w:lineRule="exact"/>
        <w:ind w:firstLine="640"/>
        <w:jc w:val="both"/>
      </w:pPr>
      <w:r>
        <w:rPr>
          <w:rFonts w:ascii="仿宋_GB2312" w:hAnsi="仿宋_GB2312" w:eastAsia="仿宋_GB2312"/>
          <w:b w:val="0"/>
          <w:sz w:val="32"/>
        </w:rPr>
        <w:t>授予中小企业合同金额47.92万元，占政府采购支出总额的99.46%，其中：授予小微企业合同金额47.92万元，占政府采购支出总额的99.46%。</w:t>
      </w:r>
    </w:p>
    <w:p w14:paraId="4D6C6D4B">
      <w:pPr>
        <w:spacing w:line="640" w:lineRule="exact"/>
        <w:ind w:firstLine="640"/>
        <w:jc w:val="both"/>
        <w:outlineLvl w:val="3"/>
      </w:pPr>
      <w:r>
        <w:rPr>
          <w:rFonts w:ascii="楷体_GB2312" w:hAnsi="楷体_GB2312" w:eastAsia="楷体_GB2312"/>
          <w:b/>
          <w:sz w:val="32"/>
        </w:rPr>
        <w:t>（三）国有资产占用情况说明</w:t>
      </w:r>
    </w:p>
    <w:p w14:paraId="45BDBC20">
      <w:pPr>
        <w:spacing w:line="580" w:lineRule="exact"/>
        <w:ind w:firstLine="640"/>
        <w:jc w:val="both"/>
      </w:pPr>
      <w:r>
        <w:rPr>
          <w:rFonts w:ascii="仿宋_GB2312" w:hAnsi="仿宋_GB2312" w:eastAsia="仿宋_GB2312"/>
          <w:b w:val="0"/>
          <w:sz w:val="32"/>
        </w:rPr>
        <w:t>截至2024年12月31日，房屋0.00平方米，价值0.00万元。车辆2辆，价值30.10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6台（套）。</w:t>
      </w:r>
    </w:p>
    <w:p w14:paraId="0201EC8E">
      <w:pPr>
        <w:spacing w:line="640" w:lineRule="exact"/>
        <w:ind w:firstLine="640"/>
        <w:jc w:val="both"/>
        <w:outlineLvl w:val="2"/>
      </w:pPr>
      <w:r>
        <w:rPr>
          <w:rFonts w:ascii="黑体" w:hAnsi="黑体" w:eastAsia="黑体"/>
          <w:sz w:val="32"/>
        </w:rPr>
        <w:t>十一、预算绩效的情况说明</w:t>
      </w:r>
    </w:p>
    <w:p w14:paraId="255DE1D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根据预算绩效管理要求，本单位2024年度预算绩效管理形成整体支出绩效自评表1个，全年预算总额1,121.64万元，实际执行总额1,121.51万元；预算绩效评价项目</w:t>
      </w:r>
      <w:r>
        <w:rPr>
          <w:rFonts w:hint="eastAsia" w:ascii="仿宋_GB2312" w:hAnsi="仿宋_GB2312" w:eastAsia="仿宋_GB2312"/>
          <w:b w:val="0"/>
          <w:sz w:val="32"/>
          <w:lang w:val="en-US" w:eastAsia="zh-CN"/>
        </w:rPr>
        <w:t>14</w:t>
      </w:r>
      <w:r>
        <w:rPr>
          <w:rFonts w:ascii="仿宋_GB2312" w:hAnsi="仿宋_GB2312" w:eastAsia="仿宋_GB2312"/>
          <w:b w:val="0"/>
          <w:sz w:val="32"/>
        </w:rPr>
        <w:t>个，全年预算数855.42万元，全年执行数348.5</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万元。预算绩效管理取得的成效：本单位预算绩效项目SM不予以公开。发现的问题及原因：本单位预算绩效项目SM不予以公开。下一步改进措施：本单位预算绩效项目SM不予以公开。具体附整体支出绩效自评表。</w:t>
      </w:r>
    </w:p>
    <w:p w14:paraId="5813E90B">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387"/>
        <w:gridCol w:w="823"/>
        <w:gridCol w:w="1105"/>
        <w:gridCol w:w="1105"/>
        <w:gridCol w:w="1105"/>
        <w:gridCol w:w="1105"/>
      </w:tblGrid>
      <w:tr w14:paraId="5F8605F9">
        <w:tblPrEx>
          <w:tblCellMar>
            <w:top w:w="0" w:type="dxa"/>
            <w:left w:w="108" w:type="dxa"/>
            <w:bottom w:w="0" w:type="dxa"/>
            <w:right w:w="108" w:type="dxa"/>
          </w:tblCellMar>
        </w:tblPrEx>
        <w:tc>
          <w:tcPr>
            <w:tcW w:w="8840" w:type="dxa"/>
            <w:gridSpan w:val="8"/>
            <w:vAlign w:val="center"/>
          </w:tcPr>
          <w:p w14:paraId="1C569E8F">
            <w:pPr>
              <w:jc w:val="center"/>
            </w:pPr>
            <w:r>
              <w:rPr>
                <w:rFonts w:ascii="宋体" w:hAnsi="宋体" w:eastAsia="宋体"/>
                <w:sz w:val="24"/>
              </w:rPr>
              <w:t>单位整体支出绩效自评表</w:t>
            </w:r>
          </w:p>
        </w:tc>
      </w:tr>
      <w:tr w14:paraId="697D3A29">
        <w:tblPrEx>
          <w:tblCellMar>
            <w:top w:w="0" w:type="dxa"/>
            <w:left w:w="108" w:type="dxa"/>
            <w:bottom w:w="0" w:type="dxa"/>
            <w:right w:w="108" w:type="dxa"/>
          </w:tblCellMar>
        </w:tblPrEx>
        <w:tc>
          <w:tcPr>
            <w:tcW w:w="8840" w:type="dxa"/>
            <w:gridSpan w:val="8"/>
            <w:vAlign w:val="center"/>
          </w:tcPr>
          <w:p w14:paraId="76348315">
            <w:pPr>
              <w:jc w:val="center"/>
            </w:pPr>
            <w:r>
              <w:rPr>
                <w:rFonts w:ascii="宋体" w:hAnsi="宋体" w:eastAsia="宋体"/>
                <w:sz w:val="24"/>
              </w:rPr>
              <w:t>（2024年度）</w:t>
            </w:r>
          </w:p>
        </w:tc>
      </w:tr>
      <w:tr w14:paraId="5CA9212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A0F0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2E6DB">
            <w:pPr>
              <w:jc w:val="center"/>
            </w:pPr>
            <w:r>
              <w:rPr>
                <w:rFonts w:ascii="宋体" w:hAnsi="宋体" w:eastAsia="宋体"/>
                <w:sz w:val="16"/>
              </w:rPr>
              <w:t>中共阿图什市委员会统战部</w:t>
            </w:r>
          </w:p>
        </w:tc>
      </w:tr>
      <w:tr w14:paraId="0D79E75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0651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F24F3">
            <w:pPr>
              <w:jc w:val="center"/>
            </w:pPr>
            <w:r>
              <w:rPr>
                <w:rFonts w:ascii="宋体" w:hAnsi="宋体" w:eastAsia="宋体"/>
                <w:sz w:val="16"/>
              </w:rPr>
              <w:t>资金来源</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2AA49E41">
            <w:pPr>
              <w:jc w:val="center"/>
            </w:pPr>
            <w:r>
              <w:rPr>
                <w:rFonts w:ascii="宋体" w:hAnsi="宋体" w:eastAsia="宋体"/>
                <w:sz w:val="16"/>
              </w:rPr>
              <w:t>年初预算数</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64D1107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1B74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6A8E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5B61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65470">
            <w:pPr>
              <w:jc w:val="center"/>
            </w:pPr>
            <w:r>
              <w:rPr>
                <w:rFonts w:ascii="宋体" w:hAnsi="宋体" w:eastAsia="宋体"/>
                <w:sz w:val="16"/>
              </w:rPr>
              <w:t>得分</w:t>
            </w:r>
          </w:p>
        </w:tc>
      </w:tr>
      <w:tr w14:paraId="30DEB6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FD6A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69899">
            <w:pPr>
              <w:jc w:val="center"/>
            </w:pPr>
            <w:r>
              <w:rPr>
                <w:rFonts w:ascii="宋体" w:hAnsi="宋体" w:eastAsia="宋体"/>
                <w:sz w:val="16"/>
              </w:rPr>
              <w:t>年度总资金：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5D59CDB9">
            <w:pPr>
              <w:jc w:val="center"/>
            </w:pPr>
            <w:r>
              <w:rPr>
                <w:rFonts w:ascii="宋体" w:hAnsi="宋体" w:eastAsia="宋体"/>
                <w:sz w:val="16"/>
              </w:rPr>
              <w:t>583.45</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7DED83DF">
            <w:pPr>
              <w:jc w:val="center"/>
            </w:pPr>
            <w:r>
              <w:rPr>
                <w:rFonts w:ascii="宋体" w:hAnsi="宋体" w:eastAsia="宋体"/>
                <w:sz w:val="16"/>
              </w:rPr>
              <w:t>1,121.64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C6667">
            <w:pPr>
              <w:jc w:val="center"/>
            </w:pPr>
            <w:r>
              <w:rPr>
                <w:rFonts w:ascii="宋体" w:hAnsi="宋体" w:eastAsia="宋体"/>
                <w:sz w:val="16"/>
              </w:rPr>
              <w:t>1,121.51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FB0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5D53E">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175A4">
            <w:pPr>
              <w:jc w:val="center"/>
            </w:pPr>
            <w:r>
              <w:rPr>
                <w:rFonts w:hint="eastAsia" w:ascii="宋体" w:hAnsi="宋体" w:eastAsia="宋体"/>
                <w:sz w:val="16"/>
              </w:rPr>
              <w:t>9.99</w:t>
            </w:r>
          </w:p>
        </w:tc>
      </w:tr>
      <w:tr w14:paraId="3BCF5B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A715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65BFC">
            <w:pPr>
              <w:jc w:val="center"/>
            </w:pPr>
            <w:r>
              <w:rPr>
                <w:rFonts w:ascii="宋体" w:hAnsi="宋体" w:eastAsia="宋体"/>
                <w:sz w:val="16"/>
              </w:rPr>
              <w:t>上级资金：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1F16CA51">
            <w:pPr>
              <w:jc w:val="center"/>
            </w:pPr>
            <w:r>
              <w:rPr>
                <w:rFonts w:ascii="宋体" w:hAnsi="宋体" w:eastAsia="宋体"/>
                <w:sz w:val="16"/>
              </w:rPr>
              <w:t>0.00</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1EA0F35E">
            <w:pPr>
              <w:jc w:val="center"/>
            </w:pPr>
            <w:r>
              <w:rPr>
                <w:rFonts w:ascii="宋体" w:hAnsi="宋体" w:eastAsia="宋体"/>
                <w:sz w:val="16"/>
              </w:rPr>
              <w:t>332.95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F2321">
            <w:pPr>
              <w:jc w:val="center"/>
            </w:pPr>
            <w:r>
              <w:rPr>
                <w:rFonts w:ascii="宋体" w:hAnsi="宋体" w:eastAsia="宋体"/>
                <w:sz w:val="16"/>
              </w:rPr>
              <w:t>332.95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B4E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36A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D5416">
            <w:pPr>
              <w:jc w:val="center"/>
            </w:pPr>
            <w:r>
              <w:rPr>
                <w:rFonts w:ascii="宋体" w:hAnsi="宋体" w:eastAsia="宋体"/>
                <w:sz w:val="16"/>
              </w:rPr>
              <w:t>—</w:t>
            </w:r>
          </w:p>
        </w:tc>
      </w:tr>
      <w:tr w14:paraId="46441C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378D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EC5D6">
            <w:pPr>
              <w:jc w:val="center"/>
            </w:pPr>
            <w:r>
              <w:rPr>
                <w:rFonts w:ascii="宋体" w:hAnsi="宋体" w:eastAsia="宋体"/>
                <w:sz w:val="16"/>
              </w:rPr>
              <w:t>本级资金：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44E0F739">
            <w:pPr>
              <w:jc w:val="center"/>
            </w:pPr>
            <w:r>
              <w:rPr>
                <w:rFonts w:ascii="宋体" w:hAnsi="宋体" w:eastAsia="宋体"/>
                <w:sz w:val="16"/>
              </w:rPr>
              <w:t>583.45</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1697EF29">
            <w:pPr>
              <w:jc w:val="center"/>
            </w:pPr>
            <w:r>
              <w:rPr>
                <w:rFonts w:ascii="宋体" w:hAnsi="宋体" w:eastAsia="宋体"/>
                <w:sz w:val="16"/>
              </w:rPr>
              <w:t>788.69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401AE">
            <w:pPr>
              <w:jc w:val="center"/>
            </w:pPr>
            <w:r>
              <w:rPr>
                <w:rFonts w:ascii="宋体" w:hAnsi="宋体" w:eastAsia="宋体"/>
                <w:sz w:val="16"/>
              </w:rPr>
              <w:t>788.56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791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A1B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95F63">
            <w:pPr>
              <w:jc w:val="center"/>
            </w:pPr>
            <w:r>
              <w:rPr>
                <w:rFonts w:ascii="宋体" w:hAnsi="宋体" w:eastAsia="宋体"/>
                <w:sz w:val="16"/>
              </w:rPr>
              <w:t>—</w:t>
            </w:r>
          </w:p>
        </w:tc>
      </w:tr>
      <w:tr w14:paraId="354CE6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210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B58FC">
            <w:pPr>
              <w:jc w:val="center"/>
            </w:pPr>
            <w:r>
              <w:rPr>
                <w:rFonts w:ascii="宋体" w:hAnsi="宋体" w:eastAsia="宋体"/>
                <w:sz w:val="16"/>
              </w:rPr>
              <w:t>其他资金：</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24CD507D">
            <w:pPr>
              <w:jc w:val="center"/>
            </w:pPr>
            <w:r>
              <w:rPr>
                <w:rFonts w:ascii="宋体" w:hAnsi="宋体" w:eastAsia="宋体"/>
                <w:sz w:val="16"/>
              </w:rPr>
              <w:t>0.00</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4B9795D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3C7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368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5DDE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97BE5">
            <w:pPr>
              <w:jc w:val="center"/>
            </w:pPr>
            <w:r>
              <w:rPr>
                <w:rFonts w:ascii="宋体" w:hAnsi="宋体" w:eastAsia="宋体"/>
                <w:sz w:val="16"/>
              </w:rPr>
              <w:t>—</w:t>
            </w:r>
          </w:p>
        </w:tc>
      </w:tr>
      <w:tr w14:paraId="486E38E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07EB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ED728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8E5E9A">
            <w:pPr>
              <w:jc w:val="center"/>
            </w:pPr>
            <w:r>
              <w:rPr>
                <w:rFonts w:ascii="宋体" w:hAnsi="宋体" w:eastAsia="宋体"/>
                <w:sz w:val="16"/>
              </w:rPr>
              <w:t>实际完成情况</w:t>
            </w:r>
          </w:p>
        </w:tc>
      </w:tr>
      <w:tr w14:paraId="66C9F9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2D467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BA07DA">
            <w:pPr>
              <w:jc w:val="both"/>
            </w:pPr>
            <w:r>
              <w:rPr>
                <w:rFonts w:ascii="宋体" w:hAnsi="宋体" w:eastAsia="宋体"/>
                <w:sz w:val="16"/>
              </w:rPr>
              <w:t xml:space="preserve">单位基本职能：组织宣传、贯彻落实党中央、自治区党委、自治州党委、阿图什市委关于统一战线的方针、政策，调查了解阿图什市统战工作情况，掌握分析统一战线工作中政治思想动态，以及准确地向市委反映情况，并提出开展统战工作的建议和意见； </w:t>
            </w:r>
            <w:r>
              <w:rPr>
                <w:rFonts w:ascii="宋体" w:hAnsi="宋体" w:eastAsia="宋体"/>
                <w:sz w:val="16"/>
              </w:rPr>
              <w:br w:type="textWrapping"/>
            </w:r>
            <w:r>
              <w:rPr>
                <w:rFonts w:ascii="宋体" w:hAnsi="宋体" w:eastAsia="宋体"/>
                <w:sz w:val="16"/>
              </w:rPr>
              <w:t xml:space="preserve">机构设置及人员配置：无下属预算单位，下设6个科室，编制数20，实有人数28人，在职20人，退休8人。 </w:t>
            </w:r>
            <w:r>
              <w:rPr>
                <w:rFonts w:ascii="宋体" w:hAnsi="宋体" w:eastAsia="宋体"/>
                <w:sz w:val="16"/>
              </w:rPr>
              <w:br w:type="textWrapping"/>
            </w:r>
            <w:r>
              <w:rPr>
                <w:rFonts w:ascii="宋体" w:hAnsi="宋体" w:eastAsia="宋体"/>
                <w:sz w:val="16"/>
              </w:rPr>
              <w:t>中长期规划：围绕统战工作重点，结合市委统战部实际，使我部工作逐步走向科学化、规范化、标准化、制度化。</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12D45E">
            <w:pPr>
              <w:jc w:val="both"/>
            </w:pPr>
            <w:r>
              <w:rPr>
                <w:rFonts w:ascii="宋体" w:hAnsi="宋体" w:eastAsia="宋体"/>
                <w:sz w:val="16"/>
              </w:rPr>
              <w:t>本单位共计支出1121.51万元，用于保障部门在职20人，退休8人的工资福利、各项补助正常发</w:t>
            </w:r>
            <w:bookmarkStart w:id="0" w:name="_GoBack"/>
            <w:bookmarkEnd w:id="0"/>
            <w:r>
              <w:rPr>
                <w:rFonts w:ascii="宋体" w:hAnsi="宋体" w:eastAsia="宋体"/>
                <w:sz w:val="16"/>
              </w:rPr>
              <w:t>放及部门单位正常运转，单位预算项目根据年初计划均已完成，围绕统战工作重点，结合市委统战部实际，使我部工作逐步走向科学化、规范化、标准化、制度化，年度任务中完成业务学习及培训及时完成率100%，组织建设工作完成率100%，举办培训班次数6期等目标。</w:t>
            </w:r>
          </w:p>
        </w:tc>
      </w:tr>
      <w:tr w14:paraId="04BE23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9360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0E596">
            <w:pPr>
              <w:jc w:val="center"/>
            </w:pPr>
            <w:r>
              <w:rPr>
                <w:rFonts w:ascii="宋体" w:hAnsi="宋体" w:eastAsia="宋体"/>
                <w:sz w:val="16"/>
              </w:rPr>
              <w:t>二级指标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5482D53E">
            <w:pPr>
              <w:jc w:val="center"/>
            </w:pPr>
            <w:r>
              <w:rPr>
                <w:rFonts w:ascii="宋体" w:hAnsi="宋体" w:eastAsia="宋体"/>
                <w:sz w:val="16"/>
              </w:rPr>
              <w:t>三级指标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7029694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C5C5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65F4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F1B3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30F3A">
            <w:pPr>
              <w:jc w:val="center"/>
            </w:pPr>
            <w:r>
              <w:rPr>
                <w:rFonts w:ascii="宋体" w:hAnsi="宋体" w:eastAsia="宋体"/>
                <w:sz w:val="16"/>
              </w:rPr>
              <w:t>得分</w:t>
            </w:r>
          </w:p>
        </w:tc>
      </w:tr>
      <w:tr w14:paraId="3935C6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9DA2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FFC19">
            <w:pPr>
              <w:jc w:val="center"/>
            </w:pPr>
            <w:r>
              <w:rPr>
                <w:rFonts w:ascii="宋体" w:hAnsi="宋体" w:eastAsia="宋体"/>
                <w:sz w:val="16"/>
              </w:rPr>
              <w:t>数量指标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12B58945">
            <w:pPr>
              <w:jc w:val="center"/>
            </w:pPr>
            <w:r>
              <w:rPr>
                <w:rFonts w:ascii="宋体" w:hAnsi="宋体" w:eastAsia="宋体"/>
                <w:sz w:val="16"/>
              </w:rPr>
              <w:t>业务学习及培训及时完成率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71574A6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1D98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0F6E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277F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0EAC5">
            <w:pPr>
              <w:jc w:val="center"/>
            </w:pPr>
            <w:r>
              <w:rPr>
                <w:rFonts w:ascii="宋体" w:hAnsi="宋体" w:eastAsia="宋体"/>
                <w:sz w:val="16"/>
              </w:rPr>
              <w:t>18</w:t>
            </w:r>
          </w:p>
        </w:tc>
      </w:tr>
      <w:tr w14:paraId="78CFDB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45C4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1408DB"/>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61942DF7">
            <w:pPr>
              <w:jc w:val="center"/>
            </w:pPr>
            <w:r>
              <w:rPr>
                <w:rFonts w:ascii="宋体" w:hAnsi="宋体" w:eastAsia="宋体"/>
                <w:sz w:val="16"/>
              </w:rPr>
              <w:t>组织建设工作完成率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18944D2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FAC3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23CE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C4C9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170ED">
            <w:pPr>
              <w:jc w:val="center"/>
            </w:pPr>
            <w:r>
              <w:rPr>
                <w:rFonts w:ascii="宋体" w:hAnsi="宋体" w:eastAsia="宋体"/>
                <w:sz w:val="16"/>
              </w:rPr>
              <w:t>18</w:t>
            </w:r>
          </w:p>
        </w:tc>
      </w:tr>
      <w:tr w14:paraId="4FCD1F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7EB7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652807"/>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76B69AFF">
            <w:pPr>
              <w:jc w:val="center"/>
            </w:pPr>
            <w:r>
              <w:rPr>
                <w:rFonts w:ascii="宋体" w:hAnsi="宋体" w:eastAsia="宋体"/>
                <w:sz w:val="16"/>
              </w:rPr>
              <w:t>举办培训班次数</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741C25E9">
            <w:pPr>
              <w:jc w:val="center"/>
            </w:pPr>
            <w:r>
              <w:rPr>
                <w:rFonts w:ascii="宋体" w:hAnsi="宋体" w:eastAsia="宋体"/>
                <w:sz w:val="16"/>
              </w:rPr>
              <w:t>&gt;=6期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7941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F6F0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7AA91">
            <w:pPr>
              <w:jc w:val="center"/>
            </w:pPr>
            <w:r>
              <w:rPr>
                <w:rFonts w:ascii="宋体" w:hAnsi="宋体" w:eastAsia="宋体"/>
                <w:sz w:val="16"/>
              </w:rPr>
              <w: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B0E9A">
            <w:pPr>
              <w:jc w:val="center"/>
            </w:pPr>
            <w:r>
              <w:rPr>
                <w:rFonts w:ascii="宋体" w:hAnsi="宋体" w:eastAsia="宋体"/>
                <w:sz w:val="16"/>
              </w:rPr>
              <w:t>18</w:t>
            </w:r>
          </w:p>
        </w:tc>
      </w:tr>
      <w:tr w14:paraId="4CFC32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2CB2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7CDED">
            <w:pPr>
              <w:jc w:val="center"/>
            </w:pPr>
            <w:r>
              <w:rPr>
                <w:rFonts w:ascii="宋体" w:hAnsi="宋体" w:eastAsia="宋体"/>
                <w:sz w:val="16"/>
              </w:rPr>
              <w:t>质量指标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36EF69FC">
            <w:pPr>
              <w:jc w:val="center"/>
            </w:pPr>
            <w:r>
              <w:rPr>
                <w:rFonts w:ascii="宋体" w:hAnsi="宋体" w:eastAsia="宋体"/>
                <w:sz w:val="16"/>
              </w:rPr>
              <w:t>组织和协调社会团体工作覆盖率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7DA7A94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FA26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933E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290D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A255D">
            <w:pPr>
              <w:jc w:val="center"/>
            </w:pPr>
            <w:r>
              <w:rPr>
                <w:rFonts w:ascii="宋体" w:hAnsi="宋体" w:eastAsia="宋体"/>
                <w:sz w:val="16"/>
              </w:rPr>
              <w:t>18</w:t>
            </w:r>
          </w:p>
        </w:tc>
      </w:tr>
      <w:tr w14:paraId="7EC87B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6846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5F490">
            <w:pPr>
              <w:jc w:val="center"/>
            </w:pPr>
            <w:r>
              <w:rPr>
                <w:rFonts w:ascii="宋体" w:hAnsi="宋体" w:eastAsia="宋体"/>
                <w:sz w:val="16"/>
              </w:rPr>
              <w:t>时效指标</w:t>
            </w:r>
          </w:p>
        </w:tc>
        <w:tc>
          <w:tcPr>
            <w:tcW w:w="1387" w:type="dxa"/>
            <w:tcBorders>
              <w:top w:val="single" w:color="auto" w:sz="10" w:space="0"/>
              <w:left w:val="single" w:color="auto" w:sz="10" w:space="0"/>
              <w:bottom w:val="single" w:color="auto" w:sz="10" w:space="0"/>
              <w:right w:val="single" w:color="auto" w:sz="10" w:space="0"/>
              <w:insideV w:val="single" w:sz="10" w:space="0"/>
            </w:tcBorders>
            <w:vAlign w:val="center"/>
          </w:tcPr>
          <w:p w14:paraId="67CFB6DC">
            <w:pPr>
              <w:jc w:val="center"/>
            </w:pPr>
            <w:r>
              <w:rPr>
                <w:rFonts w:ascii="宋体" w:hAnsi="宋体" w:eastAsia="宋体"/>
                <w:sz w:val="16"/>
              </w:rPr>
              <w:t>组织开展法律法规和重大政策宣传工作及时率</w:t>
            </w:r>
          </w:p>
        </w:tc>
        <w:tc>
          <w:tcPr>
            <w:tcW w:w="823" w:type="dxa"/>
            <w:tcBorders>
              <w:top w:val="single" w:color="auto" w:sz="10" w:space="0"/>
              <w:left w:val="single" w:color="auto" w:sz="10" w:space="0"/>
              <w:bottom w:val="single" w:color="auto" w:sz="10" w:space="0"/>
              <w:right w:val="single" w:color="auto" w:sz="10" w:space="0"/>
              <w:insideV w:val="single" w:sz="10" w:space="0"/>
            </w:tcBorders>
            <w:vAlign w:val="center"/>
          </w:tcPr>
          <w:p w14:paraId="3F9935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2AA0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F859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D1BE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1378C">
            <w:pPr>
              <w:jc w:val="center"/>
            </w:pPr>
            <w:r>
              <w:rPr>
                <w:rFonts w:ascii="宋体" w:hAnsi="宋体" w:eastAsia="宋体"/>
                <w:sz w:val="16"/>
              </w:rPr>
              <w:t>18</w:t>
            </w:r>
          </w:p>
        </w:tc>
      </w:tr>
    </w:tbl>
    <w:p w14:paraId="41D857BA">
      <w:r>
        <w:br w:type="page"/>
      </w:r>
    </w:p>
    <w:p w14:paraId="2E58EE62">
      <w:pPr>
        <w:spacing w:line="640" w:lineRule="exact"/>
        <w:ind w:firstLine="640"/>
        <w:jc w:val="both"/>
        <w:outlineLvl w:val="2"/>
      </w:pPr>
      <w:r>
        <w:rPr>
          <w:rFonts w:ascii="黑体" w:hAnsi="黑体" w:eastAsia="黑体"/>
          <w:sz w:val="32"/>
        </w:rPr>
        <w:t>十二、其他需说明的事项</w:t>
      </w:r>
    </w:p>
    <w:p w14:paraId="45DAD8F6">
      <w:pPr>
        <w:spacing w:line="580" w:lineRule="exact"/>
        <w:ind w:firstLine="640"/>
        <w:jc w:val="both"/>
      </w:pPr>
      <w:r>
        <w:rPr>
          <w:rFonts w:ascii="仿宋_GB2312" w:hAnsi="仿宋_GB2312" w:eastAsia="仿宋_GB2312"/>
          <w:b w:val="0"/>
          <w:sz w:val="32"/>
        </w:rPr>
        <w:t>本年本单位SM项目14个，全年预算数855.42万元，全年执行数348.5</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14:paraId="3B501813">
      <w:r>
        <w:br w:type="page"/>
      </w:r>
    </w:p>
    <w:p w14:paraId="16CC681C">
      <w:pPr>
        <w:spacing w:line="240" w:lineRule="auto"/>
        <w:jc w:val="center"/>
        <w:outlineLvl w:val="1"/>
      </w:pPr>
      <w:r>
        <w:rPr>
          <w:rFonts w:ascii="黑体" w:hAnsi="黑体" w:eastAsia="黑体"/>
          <w:sz w:val="32"/>
        </w:rPr>
        <w:t>第三部分 专业名词解释</w:t>
      </w:r>
    </w:p>
    <w:p w14:paraId="7C86732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85ABC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E2BB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60D80D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671B87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E7363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BF60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9B109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6A733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20AF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5632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F5913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18B24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7BDE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2C6043">
      <w:r>
        <w:br w:type="page"/>
      </w:r>
    </w:p>
    <w:p w14:paraId="06563AA8">
      <w:pPr>
        <w:spacing w:line="240" w:lineRule="auto"/>
        <w:jc w:val="center"/>
        <w:outlineLvl w:val="1"/>
      </w:pPr>
      <w:r>
        <w:rPr>
          <w:rFonts w:ascii="黑体" w:hAnsi="黑体" w:eastAsia="黑体"/>
          <w:sz w:val="32"/>
        </w:rPr>
        <w:t>第四部分 部门决算报表（见附表）</w:t>
      </w:r>
    </w:p>
    <w:p w14:paraId="2ECF4D7D">
      <w:pPr>
        <w:spacing w:line="240" w:lineRule="auto"/>
        <w:ind w:firstLine="640"/>
        <w:jc w:val="both"/>
      </w:pPr>
      <w:r>
        <w:rPr>
          <w:rFonts w:ascii="仿宋_GB2312" w:hAnsi="仿宋_GB2312" w:eastAsia="仿宋_GB2312"/>
          <w:b w:val="0"/>
          <w:sz w:val="32"/>
        </w:rPr>
        <w:t>一、《收入支出决算总表》</w:t>
      </w:r>
    </w:p>
    <w:p w14:paraId="398E849D">
      <w:pPr>
        <w:spacing w:line="240" w:lineRule="auto"/>
        <w:ind w:firstLine="640"/>
        <w:jc w:val="both"/>
      </w:pPr>
      <w:r>
        <w:rPr>
          <w:rFonts w:ascii="仿宋_GB2312" w:hAnsi="仿宋_GB2312" w:eastAsia="仿宋_GB2312"/>
          <w:b w:val="0"/>
          <w:sz w:val="32"/>
        </w:rPr>
        <w:t>二、《收入决算表》</w:t>
      </w:r>
    </w:p>
    <w:p w14:paraId="68062E82">
      <w:pPr>
        <w:spacing w:line="240" w:lineRule="auto"/>
        <w:ind w:firstLine="640"/>
        <w:jc w:val="both"/>
      </w:pPr>
      <w:r>
        <w:rPr>
          <w:rFonts w:ascii="仿宋_GB2312" w:hAnsi="仿宋_GB2312" w:eastAsia="仿宋_GB2312"/>
          <w:b w:val="0"/>
          <w:sz w:val="32"/>
        </w:rPr>
        <w:t>三、《支出决算表》</w:t>
      </w:r>
    </w:p>
    <w:p w14:paraId="4BAD05D1">
      <w:pPr>
        <w:spacing w:line="240" w:lineRule="auto"/>
        <w:ind w:firstLine="640"/>
        <w:jc w:val="both"/>
      </w:pPr>
      <w:r>
        <w:rPr>
          <w:rFonts w:ascii="仿宋_GB2312" w:hAnsi="仿宋_GB2312" w:eastAsia="仿宋_GB2312"/>
          <w:b w:val="0"/>
          <w:sz w:val="32"/>
        </w:rPr>
        <w:t>四、《财政拨款收入支出决算总表》</w:t>
      </w:r>
    </w:p>
    <w:p w14:paraId="4E1B3D11">
      <w:pPr>
        <w:spacing w:line="240" w:lineRule="auto"/>
        <w:ind w:firstLine="640"/>
        <w:jc w:val="both"/>
      </w:pPr>
      <w:r>
        <w:rPr>
          <w:rFonts w:ascii="仿宋_GB2312" w:hAnsi="仿宋_GB2312" w:eastAsia="仿宋_GB2312"/>
          <w:b w:val="0"/>
          <w:sz w:val="32"/>
        </w:rPr>
        <w:t>五、《一般公共预算财政拨款支出决算表》</w:t>
      </w:r>
    </w:p>
    <w:p w14:paraId="3BD256AC">
      <w:pPr>
        <w:spacing w:line="240" w:lineRule="auto"/>
        <w:ind w:firstLine="640"/>
        <w:jc w:val="both"/>
      </w:pPr>
      <w:r>
        <w:rPr>
          <w:rFonts w:ascii="仿宋_GB2312" w:hAnsi="仿宋_GB2312" w:eastAsia="仿宋_GB2312"/>
          <w:b w:val="0"/>
          <w:sz w:val="32"/>
        </w:rPr>
        <w:t>六、《一般公共预算财政拨款基本支出决算表》</w:t>
      </w:r>
    </w:p>
    <w:p w14:paraId="522AADAA">
      <w:pPr>
        <w:spacing w:line="240" w:lineRule="auto"/>
        <w:ind w:firstLine="640"/>
        <w:jc w:val="both"/>
      </w:pPr>
      <w:r>
        <w:rPr>
          <w:rFonts w:ascii="仿宋_GB2312" w:hAnsi="仿宋_GB2312" w:eastAsia="仿宋_GB2312"/>
          <w:b w:val="0"/>
          <w:sz w:val="32"/>
        </w:rPr>
        <w:t>七、《政府性基金预算财政拨款收入支出决算表》</w:t>
      </w:r>
    </w:p>
    <w:p w14:paraId="62980852">
      <w:pPr>
        <w:spacing w:line="240" w:lineRule="auto"/>
        <w:ind w:firstLine="640"/>
        <w:jc w:val="both"/>
      </w:pPr>
      <w:r>
        <w:rPr>
          <w:rFonts w:ascii="仿宋_GB2312" w:hAnsi="仿宋_GB2312" w:eastAsia="仿宋_GB2312"/>
          <w:b w:val="0"/>
          <w:sz w:val="32"/>
        </w:rPr>
        <w:t>八、《国有资本经营预算财政拨款收入支出决算表》</w:t>
      </w:r>
    </w:p>
    <w:p w14:paraId="5F8EE772">
      <w:pPr>
        <w:spacing w:line="240" w:lineRule="auto"/>
        <w:ind w:firstLine="640"/>
        <w:jc w:val="both"/>
      </w:pPr>
      <w:r>
        <w:rPr>
          <w:rFonts w:ascii="仿宋_GB2312" w:hAnsi="仿宋_GB2312" w:eastAsia="仿宋_GB2312"/>
          <w:b w:val="0"/>
          <w:sz w:val="32"/>
        </w:rPr>
        <w:t>九、《财政拨款“三公”经费支出决算表》</w:t>
      </w:r>
    </w:p>
    <w:p w14:paraId="648ACF5D">
      <w:pPr>
        <w:spacing w:line="240" w:lineRule="auto"/>
        <w:ind w:firstLine="640"/>
        <w:jc w:val="both"/>
      </w:pPr>
    </w:p>
    <w:p w14:paraId="6E586194">
      <w:pPr>
        <w:spacing w:line="240" w:lineRule="auto"/>
        <w:ind w:firstLine="640"/>
        <w:jc w:val="both"/>
      </w:pPr>
    </w:p>
    <w:p w14:paraId="69659698">
      <w:pPr>
        <w:spacing w:line="240" w:lineRule="auto"/>
        <w:ind w:firstLine="640"/>
        <w:jc w:val="both"/>
      </w:pPr>
    </w:p>
    <w:p w14:paraId="6711C8AC">
      <w:pPr>
        <w:spacing w:line="240" w:lineRule="auto"/>
        <w:ind w:firstLine="640"/>
        <w:jc w:val="both"/>
      </w:pPr>
    </w:p>
    <w:p w14:paraId="363542D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54B443-BBD2-4925-B1BC-7B550EDEC1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680BF61-7C95-42A1-8980-B09ABE97E439}"/>
  </w:font>
  <w:font w:name="方正小标宋_GBK">
    <w:panose1 w:val="02000000000000000000"/>
    <w:charset w:val="86"/>
    <w:family w:val="script"/>
    <w:pitch w:val="default"/>
    <w:sig w:usb0="A00002BF" w:usb1="38CF7CFA" w:usb2="00082016" w:usb3="00000000" w:csb0="00040001" w:csb1="00000000"/>
    <w:embedRegular r:id="rId3" w:fontKey="{43A3D711-C841-46B6-AF01-98918A49CA3A}"/>
  </w:font>
  <w:font w:name="楷体_GB2312">
    <w:altName w:val="楷体"/>
    <w:panose1 w:val="02010609030101010101"/>
    <w:charset w:val="86"/>
    <w:family w:val="auto"/>
    <w:pitch w:val="default"/>
    <w:sig w:usb0="00000000" w:usb1="00000000" w:usb2="00000000" w:usb3="00000000" w:csb0="00040000" w:csb1="00000000"/>
    <w:embedRegular r:id="rId4" w:fontKey="{9B32E853-0218-4F87-9BD5-53C1BF49634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B0364C"/>
    <w:rsid w:val="0B8C3ECC"/>
    <w:rsid w:val="0C3613A3"/>
    <w:rsid w:val="0C7227A7"/>
    <w:rsid w:val="0DCA6EF7"/>
    <w:rsid w:val="0E4B1576"/>
    <w:rsid w:val="0EA04331"/>
    <w:rsid w:val="0EFF3C67"/>
    <w:rsid w:val="0F9811B3"/>
    <w:rsid w:val="11E15093"/>
    <w:rsid w:val="120E0809"/>
    <w:rsid w:val="19071D6C"/>
    <w:rsid w:val="19B5554D"/>
    <w:rsid w:val="1B8F2D19"/>
    <w:rsid w:val="1C2067E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6474</Words>
  <Characters>7424</Characters>
  <Lines>0</Lines>
  <Paragraphs>0</Paragraphs>
  <TotalTime>8</TotalTime>
  <ScaleCrop>false</ScaleCrop>
  <LinksUpToDate>false</LinksUpToDate>
  <CharactersWithSpaces>7436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2025-09-08T11:32:46Z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