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阿图什市财政局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(一)贯彻执行国家财政、税收、行政事业单位国有资产管理法规、制度和方针政策</w:t>
      </w:r>
      <w:r>
        <w:rPr>
          <w:rFonts w:hint="eastAsia" w:ascii="仿宋_GB2312" w:hAnsi="仿宋_GB2312" w:eastAsia="仿宋_GB2312"/>
          <w:sz w:val="32"/>
          <w:lang w:eastAsia="zh-CN"/>
        </w:rPr>
        <w:t>；</w:t>
      </w:r>
      <w:r>
        <w:rPr>
          <w:rFonts w:ascii="仿宋_GB2312" w:hAnsi="仿宋_GB2312" w:eastAsia="仿宋_GB2312"/>
          <w:sz w:val="32"/>
        </w:rPr>
        <w:t>结合阿图什实际制定阿图什财政、财务、会计管理、行政事业单位国有资产管理等方面的实施办法和部门规章制度，并监督实施。</w:t>
      </w:r>
    </w:p>
    <w:p>
      <w:pPr>
        <w:spacing w:line="580" w:lineRule="exact"/>
        <w:ind w:firstLine="640"/>
        <w:jc w:val="both"/>
      </w:pPr>
      <w:r>
        <w:rPr>
          <w:rFonts w:ascii="仿宋_GB2312" w:hAnsi="仿宋_GB2312" w:eastAsia="仿宋_GB2312"/>
          <w:sz w:val="32"/>
        </w:rPr>
        <w:t>(二)根据阿图什国民经济和社会发展战略，拟定阿图什财政发展战略、中长期财政规划和改革方案并组织实施</w:t>
      </w:r>
      <w:r>
        <w:rPr>
          <w:rFonts w:hint="eastAsia" w:ascii="仿宋_GB2312" w:hAnsi="仿宋_GB2312" w:eastAsia="仿宋_GB2312"/>
          <w:sz w:val="32"/>
          <w:lang w:eastAsia="zh-CN"/>
        </w:rPr>
        <w:t>；</w:t>
      </w:r>
      <w:r>
        <w:rPr>
          <w:rFonts w:ascii="仿宋_GB2312" w:hAnsi="仿宋_GB2312" w:eastAsia="仿宋_GB2312"/>
          <w:sz w:val="32"/>
        </w:rPr>
        <w:t>分析预测宏观经济形势，参与制定宏观经济政策，提出运用财税政策实施宏观经济调控和综合平衡社会财力的建议</w:t>
      </w:r>
      <w:r>
        <w:rPr>
          <w:rFonts w:hint="eastAsia" w:ascii="仿宋_GB2312" w:hAnsi="仿宋_GB2312" w:eastAsia="仿宋_GB2312"/>
          <w:sz w:val="32"/>
          <w:lang w:eastAsia="zh-CN"/>
        </w:rPr>
        <w:t>；</w:t>
      </w:r>
      <w:r>
        <w:rPr>
          <w:rFonts w:ascii="仿宋_GB2312" w:hAnsi="仿宋_GB2312" w:eastAsia="仿宋_GB2312"/>
          <w:sz w:val="32"/>
        </w:rPr>
        <w:t>拟订市直与各乡镇、财政与企业的分配政策，制定调节收入分配的财税政策，完善促进社会事业发展的财税政策。</w:t>
      </w:r>
    </w:p>
    <w:p>
      <w:pPr>
        <w:spacing w:line="580" w:lineRule="exact"/>
        <w:ind w:firstLine="640"/>
        <w:jc w:val="both"/>
      </w:pPr>
      <w:r>
        <w:rPr>
          <w:rFonts w:ascii="仿宋_GB2312" w:hAnsi="仿宋_GB2312" w:eastAsia="仿宋_GB2312"/>
          <w:sz w:val="32"/>
        </w:rPr>
        <w:t>(三)承担阿图什各项财政收支管理责任</w:t>
      </w:r>
      <w:r>
        <w:rPr>
          <w:rFonts w:hint="eastAsia" w:ascii="仿宋_GB2312" w:hAnsi="仿宋_GB2312" w:eastAsia="仿宋_GB2312"/>
          <w:sz w:val="32"/>
          <w:lang w:eastAsia="zh-CN"/>
        </w:rPr>
        <w:t>；</w:t>
      </w:r>
      <w:r>
        <w:rPr>
          <w:rFonts w:ascii="仿宋_GB2312" w:hAnsi="仿宋_GB2312" w:eastAsia="仿宋_GB2312"/>
          <w:sz w:val="32"/>
        </w:rPr>
        <w:t>负责编制阿图什本级预决算草案并组织执行</w:t>
      </w:r>
      <w:r>
        <w:rPr>
          <w:rFonts w:hint="eastAsia" w:ascii="仿宋_GB2312" w:hAnsi="仿宋_GB2312" w:eastAsia="仿宋_GB2312"/>
          <w:sz w:val="32"/>
          <w:lang w:eastAsia="zh-CN"/>
        </w:rPr>
        <w:t>；</w:t>
      </w:r>
      <w:r>
        <w:rPr>
          <w:rFonts w:ascii="仿宋_GB2312" w:hAnsi="仿宋_GB2312" w:eastAsia="仿宋_GB2312"/>
          <w:sz w:val="32"/>
        </w:rPr>
        <w:t>受阿图什人民政府委托向阿图什人民代表大会报告州本级和全市预算及其执行情况，向阿图什人大常委会报告决算</w:t>
      </w:r>
      <w:r>
        <w:rPr>
          <w:rFonts w:hint="eastAsia" w:ascii="仿宋_GB2312" w:hAnsi="仿宋_GB2312" w:eastAsia="仿宋_GB2312"/>
          <w:sz w:val="32"/>
          <w:lang w:eastAsia="zh-CN"/>
        </w:rPr>
        <w:t>；</w:t>
      </w:r>
      <w:r>
        <w:rPr>
          <w:rFonts w:ascii="仿宋_GB2312" w:hAnsi="仿宋_GB2312" w:eastAsia="仿宋_GB2312"/>
          <w:sz w:val="32"/>
        </w:rPr>
        <w:t>组织实施专项资金绩效考核工作</w:t>
      </w:r>
      <w:r>
        <w:rPr>
          <w:rFonts w:hint="eastAsia" w:ascii="仿宋_GB2312" w:hAnsi="仿宋_GB2312" w:eastAsia="仿宋_GB2312"/>
          <w:sz w:val="32"/>
          <w:lang w:eastAsia="zh-CN"/>
        </w:rPr>
        <w:t>；</w:t>
      </w:r>
      <w:r>
        <w:rPr>
          <w:rFonts w:ascii="仿宋_GB2312" w:hAnsi="仿宋_GB2312" w:eastAsia="仿宋_GB2312"/>
          <w:sz w:val="32"/>
        </w:rPr>
        <w:t>组织制定经费开支标准、定额，负责财政预决算工作</w:t>
      </w:r>
      <w:r>
        <w:rPr>
          <w:rFonts w:hint="eastAsia" w:ascii="仿宋_GB2312" w:hAnsi="仿宋_GB2312" w:eastAsia="仿宋_GB2312"/>
          <w:sz w:val="32"/>
          <w:lang w:eastAsia="zh-CN"/>
        </w:rPr>
        <w:t>；</w:t>
      </w:r>
      <w:r>
        <w:rPr>
          <w:rFonts w:ascii="仿宋_GB2312" w:hAnsi="仿宋_GB2312" w:eastAsia="仿宋_GB2312"/>
          <w:sz w:val="32"/>
        </w:rPr>
        <w:t>完善市级对下转移支付制度。</w:t>
      </w:r>
    </w:p>
    <w:p>
      <w:pPr>
        <w:spacing w:line="580" w:lineRule="exact"/>
        <w:ind w:firstLine="640"/>
        <w:jc w:val="both"/>
      </w:pPr>
      <w:r>
        <w:rPr>
          <w:rFonts w:ascii="仿宋_GB2312" w:hAnsi="仿宋_GB2312" w:eastAsia="仿宋_GB2312"/>
          <w:sz w:val="32"/>
        </w:rPr>
        <w:t>(四)负责组织起草地方性税收立法计划，税收法律，行政法规实施细则和税收政策调整方案</w:t>
      </w:r>
      <w:r>
        <w:rPr>
          <w:rFonts w:hint="eastAsia" w:ascii="仿宋_GB2312" w:hAnsi="仿宋_GB2312" w:eastAsia="仿宋_GB2312"/>
          <w:sz w:val="32"/>
          <w:lang w:eastAsia="zh-CN"/>
        </w:rPr>
        <w:t>；</w:t>
      </w:r>
      <w:r>
        <w:rPr>
          <w:rFonts w:ascii="仿宋_GB2312" w:hAnsi="仿宋_GB2312" w:eastAsia="仿宋_GB2312"/>
          <w:sz w:val="32"/>
        </w:rPr>
        <w:t>负责政府非税收入和政</w:t>
      </w:r>
      <w:r>
        <w:rPr>
          <w:rFonts w:hint="eastAsia" w:ascii="仿宋_GB2312" w:hAnsi="仿宋_GB2312" w:eastAsia="仿宋_GB2312"/>
          <w:sz w:val="32"/>
          <w:lang w:val="en-US" w:eastAsia="zh-CN"/>
        </w:rPr>
        <w:t>府</w:t>
      </w:r>
      <w:r>
        <w:rPr>
          <w:rFonts w:ascii="仿宋_GB2312" w:hAnsi="仿宋_GB2312" w:eastAsia="仿宋_GB2312"/>
          <w:sz w:val="32"/>
        </w:rPr>
        <w:t>性基金管理</w:t>
      </w:r>
      <w:r>
        <w:rPr>
          <w:rFonts w:hint="eastAsia" w:ascii="仿宋_GB2312" w:hAnsi="仿宋_GB2312" w:eastAsia="仿宋_GB2312"/>
          <w:sz w:val="32"/>
          <w:lang w:eastAsia="zh-CN"/>
        </w:rPr>
        <w:t>；</w:t>
      </w:r>
      <w:r>
        <w:rPr>
          <w:rFonts w:ascii="仿宋_GB2312" w:hAnsi="仿宋_GB2312" w:eastAsia="仿宋_GB2312"/>
          <w:sz w:val="32"/>
        </w:rPr>
        <w:t>监管财政票据</w:t>
      </w:r>
      <w:r>
        <w:rPr>
          <w:rFonts w:hint="eastAsia" w:ascii="仿宋_GB2312" w:hAnsi="仿宋_GB2312" w:eastAsia="仿宋_GB2312"/>
          <w:sz w:val="32"/>
          <w:lang w:eastAsia="zh-CN"/>
        </w:rPr>
        <w:t>；</w:t>
      </w:r>
      <w:r>
        <w:rPr>
          <w:rFonts w:ascii="仿宋_GB2312" w:hAnsi="仿宋_GB2312" w:eastAsia="仿宋_GB2312"/>
          <w:sz w:val="32"/>
        </w:rPr>
        <w:t>制定彩票管理政策和有关</w:t>
      </w:r>
      <w:r>
        <w:rPr>
          <w:rFonts w:hint="eastAsia" w:ascii="仿宋_GB2312" w:hAnsi="仿宋_GB2312" w:eastAsia="仿宋_GB2312"/>
          <w:sz w:val="32"/>
          <w:lang w:eastAsia="zh-CN"/>
        </w:rPr>
        <w:t>办法</w:t>
      </w:r>
      <w:r>
        <w:rPr>
          <w:rFonts w:ascii="仿宋_GB2312" w:hAnsi="仿宋_GB2312" w:eastAsia="仿宋_GB2312"/>
          <w:sz w:val="32"/>
        </w:rPr>
        <w:t>，</w:t>
      </w:r>
      <w:r>
        <w:rPr>
          <w:rFonts w:hint="eastAsia" w:ascii="仿宋_GB2312" w:hAnsi="仿宋_GB2312" w:eastAsia="仿宋_GB2312"/>
          <w:sz w:val="32"/>
          <w:lang w:eastAsia="zh-CN"/>
        </w:rPr>
        <w:t>按规定</w:t>
      </w:r>
      <w:r>
        <w:rPr>
          <w:rFonts w:ascii="仿宋_GB2312" w:hAnsi="仿宋_GB2312" w:eastAsia="仿宋_GB2312"/>
          <w:sz w:val="32"/>
        </w:rPr>
        <w:t>管理彩票资金。</w:t>
      </w:r>
    </w:p>
    <w:p>
      <w:pPr>
        <w:spacing w:line="580" w:lineRule="exact"/>
        <w:ind w:firstLine="640"/>
        <w:jc w:val="both"/>
      </w:pPr>
      <w:r>
        <w:rPr>
          <w:rFonts w:ascii="仿宋_GB2312" w:hAnsi="仿宋_GB2312" w:eastAsia="仿宋_GB2312"/>
          <w:sz w:val="32"/>
        </w:rPr>
        <w:t>(五)组织制定阿图什国库管理制度、国库集中收付制度，按规定开展阿图什国库</w:t>
      </w:r>
      <w:r>
        <w:rPr>
          <w:rFonts w:hint="eastAsia" w:ascii="仿宋_GB2312" w:hAnsi="仿宋_GB2312" w:eastAsia="仿宋_GB2312"/>
          <w:sz w:val="32"/>
          <w:lang w:eastAsia="zh-CN"/>
        </w:rPr>
        <w:t>现金管理</w:t>
      </w:r>
      <w:r>
        <w:rPr>
          <w:rFonts w:ascii="仿宋_GB2312" w:hAnsi="仿宋_GB2312" w:eastAsia="仿宋_GB2312"/>
          <w:sz w:val="32"/>
        </w:rPr>
        <w:t>工作，管理监督地方国库资金缴拨使用，管理阿图什财政统一发放工资工作</w:t>
      </w:r>
      <w:r>
        <w:rPr>
          <w:rFonts w:hint="eastAsia" w:ascii="仿宋_GB2312" w:hAnsi="仿宋_GB2312" w:eastAsia="仿宋_GB2312"/>
          <w:sz w:val="32"/>
          <w:lang w:eastAsia="zh-CN"/>
        </w:rPr>
        <w:t>；</w:t>
      </w:r>
      <w:r>
        <w:rPr>
          <w:rFonts w:ascii="仿宋_GB2312" w:hAnsi="仿宋_GB2312" w:eastAsia="仿宋_GB2312"/>
          <w:sz w:val="32"/>
        </w:rPr>
        <w:t>负责制定阿图什政府采购制度并监督管理。</w:t>
      </w:r>
    </w:p>
    <w:p>
      <w:pPr>
        <w:spacing w:line="580" w:lineRule="exact"/>
        <w:ind w:firstLine="640"/>
        <w:jc w:val="both"/>
      </w:pPr>
      <w:r>
        <w:rPr>
          <w:rFonts w:ascii="仿宋_GB2312" w:hAnsi="仿宋_GB2312" w:eastAsia="仿宋_GB2312"/>
          <w:sz w:val="32"/>
        </w:rPr>
        <w:t>(六)负责制定阿图什行政事业单位国有资产管理规章制度，按规定管理行政事业单位国有资产拟定和执行需要全州统一规定的开支标准和支出政策</w:t>
      </w:r>
      <w:r>
        <w:rPr>
          <w:rFonts w:hint="eastAsia" w:ascii="仿宋_GB2312" w:hAnsi="仿宋_GB2312" w:eastAsia="仿宋_GB2312"/>
          <w:sz w:val="32"/>
          <w:lang w:eastAsia="zh-CN"/>
        </w:rPr>
        <w:t>；</w:t>
      </w:r>
      <w:r>
        <w:rPr>
          <w:rFonts w:ascii="仿宋_GB2312" w:hAnsi="仿宋_GB2312" w:eastAsia="仿宋_GB2312"/>
          <w:sz w:val="32"/>
        </w:rPr>
        <w:t>管理阿图什财政预算内行政机构、事业单位和社会团体非贸易非经营性用汇。</w:t>
      </w:r>
    </w:p>
    <w:p>
      <w:pPr>
        <w:spacing w:line="580" w:lineRule="exact"/>
        <w:ind w:firstLine="640"/>
        <w:jc w:val="both"/>
      </w:pPr>
      <w:r>
        <w:rPr>
          <w:rFonts w:ascii="仿宋_GB2312" w:hAnsi="仿宋_GB2312" w:eastAsia="仿宋_GB2312"/>
          <w:sz w:val="32"/>
        </w:rPr>
        <w:t>(七)拟定和执行地方政府性债务管理制度和办法，按规定开展地方政府债券管理工作</w:t>
      </w:r>
      <w:r>
        <w:rPr>
          <w:rFonts w:hint="eastAsia" w:ascii="仿宋_GB2312" w:hAnsi="仿宋_GB2312" w:eastAsia="仿宋_GB2312"/>
          <w:sz w:val="32"/>
          <w:lang w:eastAsia="zh-CN"/>
        </w:rPr>
        <w:t>；</w:t>
      </w:r>
      <w:r>
        <w:rPr>
          <w:rFonts w:ascii="仿宋_GB2312" w:hAnsi="仿宋_GB2312" w:eastAsia="仿宋_GB2312"/>
          <w:sz w:val="32"/>
        </w:rPr>
        <w:t>管理国债资金，防范财政风险</w:t>
      </w:r>
      <w:r>
        <w:rPr>
          <w:rFonts w:hint="eastAsia" w:ascii="仿宋_GB2312" w:hAnsi="仿宋_GB2312" w:eastAsia="仿宋_GB2312"/>
          <w:sz w:val="32"/>
          <w:lang w:eastAsia="zh-CN"/>
        </w:rPr>
        <w:t>；</w:t>
      </w:r>
      <w:r>
        <w:rPr>
          <w:rFonts w:ascii="仿宋_GB2312" w:hAnsi="仿宋_GB2312" w:eastAsia="仿宋_GB2312"/>
          <w:sz w:val="32"/>
        </w:rPr>
        <w:t>负责管理政府外债，组织实施外国政府、国际金融组织贷款项目和审核、申报、转贷、签订贷款协定以及资金管理工作</w:t>
      </w:r>
      <w:r>
        <w:rPr>
          <w:rFonts w:hint="eastAsia" w:ascii="仿宋_GB2312" w:hAnsi="仿宋_GB2312" w:eastAsia="仿宋_GB2312"/>
          <w:sz w:val="32"/>
          <w:lang w:eastAsia="zh-CN"/>
        </w:rPr>
        <w:t>；</w:t>
      </w:r>
      <w:r>
        <w:rPr>
          <w:rFonts w:ascii="仿宋_GB2312" w:hAnsi="仿宋_GB2312" w:eastAsia="仿宋_GB2312"/>
          <w:sz w:val="32"/>
        </w:rPr>
        <w:t>承担地方金融企业的国有资产和财务的监管工作。</w:t>
      </w:r>
    </w:p>
    <w:p>
      <w:pPr>
        <w:spacing w:line="580" w:lineRule="exact"/>
        <w:ind w:firstLine="640"/>
        <w:jc w:val="both"/>
      </w:pPr>
      <w:r>
        <w:rPr>
          <w:rFonts w:ascii="仿宋_GB2312" w:hAnsi="仿宋_GB2312" w:eastAsia="仿宋_GB2312"/>
          <w:sz w:val="32"/>
        </w:rPr>
        <w:t>(八)参与拟定阿图什建设投资的有关政策制定阿图什基本建设财务管理制度，负责政府性投资项目财政资金管理工作，负责政府性投资项目评审工作</w:t>
      </w:r>
      <w:r>
        <w:rPr>
          <w:rFonts w:hint="eastAsia" w:ascii="仿宋_GB2312" w:hAnsi="仿宋_GB2312" w:eastAsia="仿宋_GB2312"/>
          <w:sz w:val="32"/>
          <w:lang w:eastAsia="zh-CN"/>
        </w:rPr>
        <w:t>；</w:t>
      </w:r>
      <w:r>
        <w:rPr>
          <w:rFonts w:ascii="仿宋_GB2312" w:hAnsi="仿宋_GB2312" w:eastAsia="仿宋_GB2312"/>
          <w:sz w:val="32"/>
        </w:rPr>
        <w:t>承担有关政策性补贴和专项储备资金财政管理工作</w:t>
      </w:r>
      <w:r>
        <w:rPr>
          <w:rFonts w:hint="eastAsia" w:ascii="仿宋_GB2312" w:hAnsi="仿宋_GB2312" w:eastAsia="仿宋_GB2312"/>
          <w:sz w:val="32"/>
          <w:lang w:eastAsia="zh-CN"/>
        </w:rPr>
        <w:t>；</w:t>
      </w:r>
      <w:r>
        <w:rPr>
          <w:rFonts w:ascii="仿宋_GB2312" w:hAnsi="仿宋_GB2312" w:eastAsia="仿宋_GB2312"/>
          <w:sz w:val="32"/>
        </w:rPr>
        <w:t>管理农业综合开发项目、资金及财务</w:t>
      </w:r>
      <w:r>
        <w:rPr>
          <w:rFonts w:hint="eastAsia" w:ascii="仿宋_GB2312" w:hAnsi="仿宋_GB2312" w:eastAsia="仿宋_GB2312"/>
          <w:sz w:val="32"/>
          <w:lang w:eastAsia="zh-CN"/>
        </w:rPr>
        <w:t>；</w:t>
      </w:r>
      <w:r>
        <w:rPr>
          <w:rFonts w:ascii="仿宋_GB2312" w:hAnsi="仿宋_GB2312" w:eastAsia="仿宋_GB2312"/>
          <w:sz w:val="32"/>
        </w:rPr>
        <w:t>管理各项财政扶贫资金。</w:t>
      </w:r>
    </w:p>
    <w:p>
      <w:pPr>
        <w:spacing w:line="580" w:lineRule="exact"/>
        <w:ind w:firstLine="640"/>
        <w:jc w:val="both"/>
      </w:pPr>
      <w:r>
        <w:rPr>
          <w:rFonts w:ascii="仿宋_GB2312" w:hAnsi="仿宋_GB2312" w:eastAsia="仿宋_GB2312"/>
          <w:sz w:val="32"/>
        </w:rPr>
        <w:t>(九)会同阿图什有关部门管理财政社会保障和就业及医疗卫生资金管理工作，会同阿图什有关部门研究制定社会保障资金(基金)政策和有关的财务管理制度，编制阿图什社会保障预决算草案。</w:t>
      </w:r>
    </w:p>
    <w:p>
      <w:pPr>
        <w:spacing w:line="580" w:lineRule="exact"/>
        <w:ind w:firstLine="640"/>
        <w:jc w:val="both"/>
      </w:pPr>
      <w:r>
        <w:rPr>
          <w:rFonts w:ascii="仿宋_GB2312" w:hAnsi="仿宋_GB2312" w:eastAsia="仿宋_GB2312"/>
          <w:sz w:val="32"/>
        </w:rPr>
        <w:t>(十)负责审核和汇总编制全市国有资本经营预决算草案，制定国有资本经营预算的制度和办法</w:t>
      </w:r>
      <w:r>
        <w:rPr>
          <w:rFonts w:hint="eastAsia" w:ascii="仿宋_GB2312" w:hAnsi="仿宋_GB2312" w:eastAsia="仿宋_GB2312"/>
          <w:sz w:val="32"/>
          <w:lang w:eastAsia="zh-CN"/>
        </w:rPr>
        <w:t>；</w:t>
      </w:r>
      <w:r>
        <w:rPr>
          <w:rFonts w:ascii="仿宋_GB2312" w:hAnsi="仿宋_GB2312" w:eastAsia="仿宋_GB2312"/>
          <w:sz w:val="32"/>
        </w:rPr>
        <w:t>组织实施企业财务制度，参与制定企业国有资产管理相关制度。</w:t>
      </w:r>
    </w:p>
    <w:p>
      <w:pPr>
        <w:spacing w:line="580" w:lineRule="exact"/>
        <w:ind w:firstLine="640"/>
        <w:jc w:val="both"/>
      </w:pPr>
      <w:r>
        <w:rPr>
          <w:rFonts w:ascii="仿宋_GB2312" w:hAnsi="仿宋_GB2312" w:eastAsia="仿宋_GB2312"/>
          <w:sz w:val="32"/>
        </w:rPr>
        <w:t>(十一)管理和指导全市会计工作，规范</w:t>
      </w:r>
      <w:r>
        <w:rPr>
          <w:rFonts w:hint="eastAsia" w:ascii="仿宋_GB2312" w:hAnsi="仿宋_GB2312" w:eastAsia="仿宋_GB2312"/>
          <w:sz w:val="32"/>
          <w:lang w:eastAsia="zh-CN"/>
        </w:rPr>
        <w:t>会计</w:t>
      </w:r>
      <w:r>
        <w:rPr>
          <w:rFonts w:ascii="仿宋_GB2312" w:hAnsi="仿宋_GB2312" w:eastAsia="仿宋_GB2312"/>
          <w:sz w:val="32"/>
        </w:rPr>
        <w:t>行为，组织执行国家统一的会计制度，制定补充规定并贯彻执行，组织管理会计人员的业务培训</w:t>
      </w:r>
      <w:r>
        <w:rPr>
          <w:rFonts w:hint="eastAsia" w:ascii="仿宋_GB2312" w:hAnsi="仿宋_GB2312" w:eastAsia="仿宋_GB2312"/>
          <w:sz w:val="32"/>
          <w:lang w:eastAsia="zh-CN"/>
        </w:rPr>
        <w:t>；</w:t>
      </w:r>
      <w:r>
        <w:rPr>
          <w:rFonts w:ascii="仿宋_GB2312" w:hAnsi="仿宋_GB2312" w:eastAsia="仿宋_GB2312"/>
          <w:sz w:val="32"/>
        </w:rPr>
        <w:t>指导和管理社会审计工作。</w:t>
      </w:r>
    </w:p>
    <w:p>
      <w:pPr>
        <w:spacing w:line="580" w:lineRule="exact"/>
        <w:ind w:firstLine="640"/>
        <w:jc w:val="both"/>
      </w:pPr>
      <w:r>
        <w:rPr>
          <w:rFonts w:ascii="仿宋_GB2312" w:hAnsi="仿宋_GB2312" w:eastAsia="仿宋_GB2312"/>
          <w:sz w:val="32"/>
        </w:rPr>
        <w:t>(十二)监督检查财税法规、政策的执行情况，反映财政收支管理中的重大问题，提出加强财政管理的政策建议</w:t>
      </w:r>
      <w:r>
        <w:rPr>
          <w:rFonts w:hint="eastAsia" w:ascii="仿宋_GB2312" w:hAnsi="仿宋_GB2312" w:eastAsia="仿宋_GB2312"/>
          <w:sz w:val="32"/>
          <w:lang w:eastAsia="zh-CN"/>
        </w:rPr>
        <w:t>；</w:t>
      </w:r>
      <w:r>
        <w:rPr>
          <w:rFonts w:ascii="仿宋_GB2312" w:hAnsi="仿宋_GB2312" w:eastAsia="仿宋_GB2312"/>
          <w:sz w:val="32"/>
        </w:rPr>
        <w:t>负责阿图什财政系统信息化建设(金财工程)规划，并组织实施。</w:t>
      </w:r>
    </w:p>
    <w:p>
      <w:pPr>
        <w:spacing w:line="580" w:lineRule="exact"/>
        <w:ind w:firstLine="640"/>
        <w:jc w:val="both"/>
      </w:pPr>
      <w:r>
        <w:rPr>
          <w:rFonts w:ascii="仿宋_GB2312" w:hAnsi="仿宋_GB2312" w:eastAsia="仿宋_GB2312"/>
          <w:sz w:val="32"/>
        </w:rPr>
        <w:t>(十三)负责全市乡镇财政管理工作，全面加强基层财政建设</w:t>
      </w:r>
      <w:r>
        <w:rPr>
          <w:rFonts w:hint="eastAsia" w:ascii="仿宋_GB2312" w:hAnsi="仿宋_GB2312" w:eastAsia="仿宋_GB2312"/>
          <w:sz w:val="32"/>
          <w:lang w:eastAsia="zh-CN"/>
        </w:rPr>
        <w:t>；</w:t>
      </w:r>
      <w:r>
        <w:rPr>
          <w:rFonts w:ascii="仿宋_GB2312" w:hAnsi="仿宋_GB2312" w:eastAsia="仿宋_GB2312"/>
          <w:sz w:val="32"/>
        </w:rPr>
        <w:t>承办阿图什农村综合改革领导小组具体工作，负责指导和协调各乡镇各部门推进阿图什农村综合改革工作。</w:t>
      </w:r>
    </w:p>
    <w:p>
      <w:pPr>
        <w:spacing w:line="580" w:lineRule="exact"/>
        <w:ind w:firstLine="640"/>
        <w:jc w:val="both"/>
      </w:pPr>
      <w:r>
        <w:rPr>
          <w:rFonts w:ascii="仿宋_GB2312" w:hAnsi="仿宋_GB2312" w:eastAsia="仿宋_GB2312"/>
          <w:sz w:val="32"/>
        </w:rPr>
        <w:t>(十四)负责市直单位政府集中采购项目的实施</w:t>
      </w:r>
      <w:r>
        <w:rPr>
          <w:rFonts w:hint="eastAsia" w:ascii="仿宋_GB2312" w:hAnsi="仿宋_GB2312" w:eastAsia="仿宋_GB2312"/>
          <w:sz w:val="32"/>
          <w:lang w:eastAsia="zh-CN"/>
        </w:rPr>
        <w:t>：</w:t>
      </w:r>
      <w:r>
        <w:rPr>
          <w:rFonts w:ascii="仿宋_GB2312" w:hAnsi="仿宋_GB2312" w:eastAsia="仿宋_GB2312"/>
          <w:sz w:val="32"/>
        </w:rPr>
        <w:t>负责制定、实施各类公共资源交易活动在中心的交易规则</w:t>
      </w:r>
      <w:r>
        <w:rPr>
          <w:rFonts w:hint="eastAsia" w:ascii="仿宋_GB2312" w:hAnsi="仿宋_GB2312" w:eastAsia="仿宋_GB2312"/>
          <w:sz w:val="32"/>
          <w:lang w:eastAsia="zh-CN"/>
        </w:rPr>
        <w:t>；</w:t>
      </w:r>
      <w:r>
        <w:rPr>
          <w:rFonts w:ascii="仿宋_GB2312" w:hAnsi="仿宋_GB2312" w:eastAsia="仿宋_GB2312"/>
          <w:sz w:val="32"/>
        </w:rPr>
        <w:t>为阿图什各类建设项目提供统一的交易平台</w:t>
      </w:r>
      <w:r>
        <w:rPr>
          <w:rFonts w:hint="eastAsia" w:ascii="仿宋_GB2312" w:hAnsi="仿宋_GB2312" w:eastAsia="仿宋_GB2312"/>
          <w:sz w:val="32"/>
          <w:lang w:eastAsia="zh-CN"/>
        </w:rPr>
        <w:t>；</w:t>
      </w:r>
      <w:r>
        <w:rPr>
          <w:rFonts w:ascii="仿宋_GB2312" w:hAnsi="仿宋_GB2312" w:eastAsia="仿宋_GB2312"/>
          <w:sz w:val="32"/>
        </w:rPr>
        <w:t>负责公告发布、招标文件备案，维持交易秩序等。</w:t>
      </w:r>
    </w:p>
    <w:p>
      <w:pPr>
        <w:spacing w:line="580" w:lineRule="exact"/>
        <w:ind w:firstLine="640"/>
        <w:jc w:val="both"/>
      </w:pPr>
      <w:r>
        <w:rPr>
          <w:rFonts w:ascii="仿宋_GB2312" w:hAnsi="仿宋_GB2312" w:eastAsia="仿宋_GB2312"/>
          <w:sz w:val="32"/>
        </w:rPr>
        <w:t>(十五)承办阿图什人民政府交办的其他事项。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阿图什市财政局2024年度，实有人数82人，其中：在职人员49人，减少4人；离休人员0人，增加0人；退休人员33人</w:t>
      </w:r>
      <w:r>
        <w:rPr>
          <w:rFonts w:hint="eastAsia" w:ascii="仿宋_GB2312" w:hAnsi="仿宋_GB2312" w:eastAsia="仿宋_GB2312"/>
          <w:sz w:val="32"/>
          <w:lang w:eastAsia="zh-CN"/>
        </w:rPr>
        <w:t>，</w:t>
      </w:r>
      <w:r>
        <w:rPr>
          <w:rFonts w:ascii="仿宋_GB2312" w:hAnsi="仿宋_GB2312" w:eastAsia="仿宋_GB2312"/>
          <w:sz w:val="32"/>
        </w:rPr>
        <w:t>增加4人。</w:t>
      </w:r>
    </w:p>
    <w:p>
      <w:pPr>
        <w:spacing w:line="580" w:lineRule="exact"/>
        <w:ind w:firstLine="640"/>
        <w:jc w:val="both"/>
      </w:pPr>
      <w:r>
        <w:rPr>
          <w:rFonts w:ascii="仿宋_GB2312" w:hAnsi="仿宋_GB2312" w:eastAsia="仿宋_GB2312"/>
          <w:sz w:val="32"/>
        </w:rPr>
        <w:t>阿图什市财政局无下属预算单位，下设17个科室，分别是：国库支付中心、办公室、预算科、国库科、综合科、资产科、文行科、社保科、农业科、乡财科、金融办、债务绩效办、计算机办、监督检查科、经企室、采购办、会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2024年度收入总计1,520.12万元，</w:t>
      </w:r>
      <w:r>
        <w:rPr>
          <w:rFonts w:ascii="仿宋_GB2312" w:hAnsi="仿宋_GB2312" w:eastAsia="仿宋_GB2312"/>
          <w:b w:val="0"/>
          <w:sz w:val="32"/>
        </w:rPr>
        <w:t>其中：本年收入合计1,497.87万元，使用非财政拨款结余（含专用结余）0.00万元，年初结转和结余22.25万元。</w:t>
      </w:r>
    </w:p>
    <w:p>
      <w:pPr>
        <w:spacing w:line="580" w:lineRule="exact"/>
        <w:ind w:firstLine="640"/>
        <w:jc w:val="both"/>
      </w:pPr>
      <w:r>
        <w:rPr>
          <w:rFonts w:ascii="仿宋_GB2312" w:hAnsi="仿宋_GB2312" w:eastAsia="仿宋_GB2312"/>
          <w:b/>
          <w:sz w:val="32"/>
        </w:rPr>
        <w:t>2024年度支出总计1,520.12万元，</w:t>
      </w:r>
      <w:r>
        <w:rPr>
          <w:rFonts w:ascii="仿宋_GB2312" w:hAnsi="仿宋_GB2312" w:eastAsia="仿宋_GB2312"/>
          <w:b w:val="0"/>
          <w:sz w:val="32"/>
        </w:rPr>
        <w:t>其中：本年支出合计1,510.53万元，结余分配0.00万元，年末结转和结余9.59万元。</w:t>
      </w:r>
    </w:p>
    <w:p>
      <w:pPr>
        <w:spacing w:line="580" w:lineRule="exact"/>
        <w:ind w:firstLine="640"/>
        <w:jc w:val="both"/>
      </w:pPr>
      <w:r>
        <w:rPr>
          <w:rFonts w:ascii="仿宋_GB2312" w:hAnsi="仿宋_GB2312" w:eastAsia="仿宋_GB2312"/>
          <w:b w:val="0"/>
          <w:sz w:val="32"/>
        </w:rPr>
        <w:t>收入支出总体与上年相比，增加22.52万元，增长1.50%，主要原因是：在职人员工资调增，社保、公积金基数调增，相关人员经费增加；增加国资第三方咨询费项目、国资开办费项目；财政综合楼运行维护费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本年收入1,497.87万元，</w:t>
      </w:r>
      <w:r>
        <w:rPr>
          <w:rFonts w:ascii="仿宋_GB2312" w:hAnsi="仿宋_GB2312" w:eastAsia="仿宋_GB2312"/>
          <w:b w:val="0"/>
          <w:sz w:val="32"/>
        </w:rPr>
        <w:t>其中：财政拨款收入1,480.79万元，占98.86%；上级补助收入0.00万元，占0.00%；事业收入0.00万元，占0.00%；经营收入0.00万元，占0.00%；附属单位上缴收入0.00万元，占0.00%；其他收入17.08万元，占1.14%。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本年支出1,510.53万元，</w:t>
      </w:r>
      <w:r>
        <w:rPr>
          <w:rFonts w:ascii="仿宋_GB2312" w:hAnsi="仿宋_GB2312" w:eastAsia="仿宋_GB2312"/>
          <w:b w:val="0"/>
          <w:sz w:val="32"/>
        </w:rPr>
        <w:t>其中：基本支出1,002.36万元，占66.36%；项目支出508.17万元，占33.64%；上缴上级支出0.00万元，占0.00%；经营支出0.00万元，占0.00%；对附属单位补助支出0.00万元，占0.00%。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2024年度财政拨款收入总计1,480.79万元，</w:t>
      </w:r>
      <w:r>
        <w:rPr>
          <w:rFonts w:ascii="仿宋_GB2312" w:hAnsi="仿宋_GB2312" w:eastAsia="仿宋_GB2312"/>
          <w:b w:val="0"/>
          <w:sz w:val="32"/>
        </w:rPr>
        <w:t>其中：年初财政拨款结转和结余0.00万元，本年财政拨款收入1,480.79万元。</w:t>
      </w:r>
      <w:r>
        <w:rPr>
          <w:rFonts w:ascii="仿宋_GB2312" w:hAnsi="仿宋_GB2312" w:eastAsia="仿宋_GB2312"/>
          <w:b/>
          <w:sz w:val="32"/>
        </w:rPr>
        <w:t>财政拨款支出总计1,480.79万元，</w:t>
      </w:r>
      <w:r>
        <w:rPr>
          <w:rFonts w:ascii="仿宋_GB2312" w:hAnsi="仿宋_GB2312" w:eastAsia="仿宋_GB2312"/>
          <w:b w:val="0"/>
          <w:sz w:val="32"/>
        </w:rPr>
        <w:t>其中：年末财政拨款结转和结余0.00万元，本年财政拨款支出1,480.79万元。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增加36.30万元，增长2.51%，主要原因是：在职人员工资调增，社保、公积金基数调增，相关人员经费增加；增加国资第三方咨询费项目、国资开办费项目；财政综合楼运行维护费项目资金较上年增加。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年初预算数1,861.89万元，决算数1,480.79万元，预决算差异率-20.47%，主要原因是：2024年9月，国资委单独成立，年中调减相关经费。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2024年度一般公共预算财政拨款支出1,480.79万元，</w:t>
      </w:r>
      <w:r>
        <w:rPr>
          <w:rFonts w:ascii="仿宋_GB2312" w:hAnsi="仿宋_GB2312" w:eastAsia="仿宋_GB2312"/>
          <w:b w:val="0"/>
          <w:sz w:val="32"/>
        </w:rPr>
        <w:t>占本年支出合计的98.03%。</w:t>
      </w:r>
      <w:r>
        <w:rPr>
          <w:rFonts w:ascii="仿宋_GB2312" w:hAnsi="仿宋_GB2312" w:eastAsia="仿宋_GB2312"/>
          <w:b/>
          <w:sz w:val="32"/>
        </w:rPr>
        <w:t>与上年相比，</w:t>
      </w:r>
      <w:r>
        <w:rPr>
          <w:rFonts w:ascii="仿宋_GB2312" w:hAnsi="仿宋_GB2312" w:eastAsia="仿宋_GB2312"/>
          <w:b w:val="0"/>
          <w:sz w:val="32"/>
        </w:rPr>
        <w:t>增加36.30万元，增长2.51%，主要原因是：在职人员工资调增，社保、公积金基数调增，相关人员经费增加；增加国资第三方咨询费项目、国资开办费项目；财政综合楼运行维护费项目资金较上年增加。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年初预算数1,861.89万元，决算数1,480.79万元，预决算差异率-20.47%，主要原因是：2024年9月，国资委单独成立，年中调减相关经费。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1.一般公共服务支出(类)1,210.96万元</w:t>
      </w:r>
      <w:r>
        <w:rPr>
          <w:rFonts w:hint="eastAsia" w:ascii="仿宋_GB2312" w:hAnsi="仿宋_GB2312" w:eastAsia="仿宋_GB2312"/>
          <w:b w:val="0"/>
          <w:sz w:val="32"/>
          <w:lang w:eastAsia="zh-CN"/>
        </w:rPr>
        <w:t>，</w:t>
      </w:r>
      <w:r>
        <w:rPr>
          <w:rFonts w:ascii="仿宋_GB2312" w:hAnsi="仿宋_GB2312" w:eastAsia="仿宋_GB2312"/>
          <w:b w:val="0"/>
          <w:sz w:val="32"/>
        </w:rPr>
        <w:t>占81.78%。</w:t>
      </w:r>
    </w:p>
    <w:p>
      <w:pPr>
        <w:spacing w:line="580" w:lineRule="exact"/>
        <w:ind w:firstLine="640"/>
        <w:jc w:val="both"/>
      </w:pPr>
      <w:r>
        <w:rPr>
          <w:rFonts w:ascii="仿宋_GB2312" w:hAnsi="仿宋_GB2312" w:eastAsia="仿宋_GB2312"/>
          <w:b w:val="0"/>
          <w:sz w:val="32"/>
        </w:rPr>
        <w:t>2.社会保障和就业支出(类)167.75万元</w:t>
      </w:r>
      <w:r>
        <w:rPr>
          <w:rFonts w:hint="eastAsia" w:ascii="仿宋_GB2312" w:hAnsi="仿宋_GB2312" w:eastAsia="仿宋_GB2312"/>
          <w:b w:val="0"/>
          <w:sz w:val="32"/>
          <w:lang w:eastAsia="zh-CN"/>
        </w:rPr>
        <w:t>，</w:t>
      </w:r>
      <w:r>
        <w:rPr>
          <w:rFonts w:ascii="仿宋_GB2312" w:hAnsi="仿宋_GB2312" w:eastAsia="仿宋_GB2312"/>
          <w:b w:val="0"/>
          <w:sz w:val="32"/>
        </w:rPr>
        <w:t>占11.33%。</w:t>
      </w:r>
    </w:p>
    <w:p>
      <w:pPr>
        <w:spacing w:line="580" w:lineRule="exact"/>
        <w:ind w:firstLine="640"/>
        <w:jc w:val="both"/>
      </w:pPr>
      <w:r>
        <w:rPr>
          <w:rFonts w:ascii="仿宋_GB2312" w:hAnsi="仿宋_GB2312" w:eastAsia="仿宋_GB2312"/>
          <w:b w:val="0"/>
          <w:sz w:val="32"/>
        </w:rPr>
        <w:t>3.卫生健康支出(类)32.14万元</w:t>
      </w:r>
      <w:r>
        <w:rPr>
          <w:rFonts w:hint="eastAsia" w:ascii="仿宋_GB2312" w:hAnsi="仿宋_GB2312" w:eastAsia="仿宋_GB2312"/>
          <w:b w:val="0"/>
          <w:sz w:val="32"/>
          <w:lang w:eastAsia="zh-CN"/>
        </w:rPr>
        <w:t>，</w:t>
      </w:r>
      <w:r>
        <w:rPr>
          <w:rFonts w:ascii="仿宋_GB2312" w:hAnsi="仿宋_GB2312" w:eastAsia="仿宋_GB2312"/>
          <w:b w:val="0"/>
          <w:sz w:val="32"/>
        </w:rPr>
        <w:t>占2.17%。</w:t>
      </w:r>
    </w:p>
    <w:p>
      <w:pPr>
        <w:spacing w:line="580" w:lineRule="exact"/>
        <w:ind w:firstLine="640"/>
        <w:jc w:val="both"/>
      </w:pPr>
      <w:r>
        <w:rPr>
          <w:rFonts w:ascii="仿宋_GB2312" w:hAnsi="仿宋_GB2312" w:eastAsia="仿宋_GB2312"/>
          <w:b w:val="0"/>
          <w:sz w:val="32"/>
        </w:rPr>
        <w:t>4.住房保障支出(类)69.94万元</w:t>
      </w:r>
      <w:r>
        <w:rPr>
          <w:rFonts w:hint="eastAsia" w:ascii="仿宋_GB2312" w:hAnsi="仿宋_GB2312" w:eastAsia="仿宋_GB2312"/>
          <w:b w:val="0"/>
          <w:sz w:val="32"/>
          <w:lang w:eastAsia="zh-CN"/>
        </w:rPr>
        <w:t>，</w:t>
      </w:r>
      <w:r>
        <w:rPr>
          <w:rFonts w:ascii="仿宋_GB2312" w:hAnsi="仿宋_GB2312" w:eastAsia="仿宋_GB2312"/>
          <w:b w:val="0"/>
          <w:sz w:val="32"/>
        </w:rPr>
        <w:t>占4.72%。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支出决算数为475.91万元，比上年决算减少55.23万元，下降10.40%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主要原因是：本年功能科目调整，部分人员经费上年度在行政运行科目列支，本年调整至事业运行科目列支，导致经费较上年减少。</w:t>
      </w:r>
    </w:p>
    <w:p>
      <w:pPr>
        <w:spacing w:line="580" w:lineRule="exact"/>
        <w:ind w:firstLine="640"/>
        <w:jc w:val="both"/>
      </w:pPr>
      <w:r>
        <w:rPr>
          <w:rFonts w:ascii="仿宋_GB2312" w:hAnsi="仿宋_GB2312" w:eastAsia="仿宋_GB2312"/>
          <w:b w:val="0"/>
          <w:sz w:val="32"/>
        </w:rPr>
        <w:t>2.一般公共服务支出(类)财政事务(款)事业运行(项)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支出决算数为238.89万元，比上年决算增加46.50万元，增长24.17%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主要原因是：本年功能科目调整，部分人员经费上年度在行政运行科目列支，本年调整至事业运行科目列支，导致经费较上年增加。</w:t>
      </w:r>
    </w:p>
    <w:p>
      <w:pPr>
        <w:spacing w:line="580" w:lineRule="exact"/>
        <w:ind w:firstLine="640"/>
        <w:jc w:val="both"/>
      </w:pPr>
      <w:r>
        <w:rPr>
          <w:rFonts w:ascii="仿宋_GB2312" w:hAnsi="仿宋_GB2312" w:eastAsia="仿宋_GB2312"/>
          <w:b w:val="0"/>
          <w:sz w:val="32"/>
        </w:rPr>
        <w:t>3.一般公共服务支出(类)财政事务(款)其他财政事务支出(项)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支出决算数为483.93万元，比上年决算增加12.20万元，增长2.59%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主要原因是：本年增加阿图什市乡镇供热改造、国资开办费等项目经费，导致相关经费增加。</w:t>
      </w:r>
    </w:p>
    <w:p>
      <w:pPr>
        <w:spacing w:line="580" w:lineRule="exact"/>
        <w:ind w:firstLine="640"/>
        <w:jc w:val="both"/>
      </w:pPr>
      <w:r>
        <w:rPr>
          <w:rFonts w:ascii="仿宋_GB2312" w:hAnsi="仿宋_GB2312" w:eastAsia="仿宋_GB2312"/>
          <w:b w:val="0"/>
          <w:sz w:val="32"/>
        </w:rPr>
        <w:t>4.一般公共服务支出(类)组织事务(款)其他组织事务支出(项)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支出决算数为12.24万元，比上年决算减少2.29万元，下降15.76%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主要原因是：本年减少专项项目经费，导致相关经费减少。</w:t>
      </w:r>
    </w:p>
    <w:p>
      <w:pPr>
        <w:spacing w:line="580" w:lineRule="exact"/>
        <w:ind w:firstLine="640"/>
        <w:jc w:val="both"/>
      </w:pPr>
      <w:r>
        <w:rPr>
          <w:rFonts w:ascii="仿宋_GB2312" w:hAnsi="仿宋_GB2312" w:eastAsia="仿宋_GB2312"/>
          <w:b w:val="0"/>
          <w:sz w:val="32"/>
        </w:rPr>
        <w:t>5.一般公共服务支出(类)统战事务(款)其他统战事务支出(项)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本年减少专项</w:t>
      </w:r>
      <w:r>
        <w:rPr>
          <w:rFonts w:ascii="仿宋_GB2312" w:hAnsi="仿宋_GB2312" w:eastAsia="仿宋_GB2312"/>
          <w:b w:val="0"/>
          <w:sz w:val="32"/>
        </w:rPr>
        <w:t>工作经费，导致相关经费减少。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支出决算数为42.54万元，比上年决算增加8.29万元，增长24.20%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支出决算数为90.11万元，比上年决算增加10.29万元，增长12.89%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支出决算数为35.09万元，比上年决算增加35.09万元，增长100.00%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9.社会保障和就业支出(类)抚恤(款)死亡抚恤(项)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支出决算数为0.00万元，比上年决算减少22.49万元，下降100.00%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w:t>
      </w:r>
      <w:bookmarkStart w:id="0" w:name="_GoBack"/>
      <w:r>
        <w:rPr>
          <w:rFonts w:hint="eastAsia" w:ascii="仿宋_GB2312" w:hAnsi="仿宋_GB2312" w:eastAsia="仿宋_GB2312"/>
          <w:b w:val="0"/>
          <w:sz w:val="32"/>
          <w:lang w:eastAsia="zh-CN"/>
        </w:rPr>
        <w:t>去世</w:t>
      </w:r>
      <w:bookmarkEnd w:id="0"/>
      <w:r>
        <w:rPr>
          <w:rFonts w:ascii="仿宋_GB2312" w:hAnsi="仿宋_GB2312" w:eastAsia="仿宋_GB2312"/>
          <w:b w:val="0"/>
          <w:sz w:val="32"/>
        </w:rPr>
        <w:t>人员，支出较上年减少。</w:t>
      </w:r>
    </w:p>
    <w:p>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支出决算数为23.07万元，比上年决算增加1.16万元，增长5.29%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支出决算数为9.08万元，比上年决算增加1.52万元，增长20.11%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支出决算数为69.94万元，比上年决算增加1.77万元，增长2.60%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主要原因是：本年职人员工资基数调增，住房公积金支出较上年增加。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2024年度一般公共预算财政拨款基本支出984.62万元，其中：</w:t>
      </w:r>
      <w:r>
        <w:rPr>
          <w:rFonts w:ascii="仿宋_GB2312" w:hAnsi="仿宋_GB2312" w:eastAsia="仿宋_GB2312"/>
          <w:b/>
          <w:sz w:val="32"/>
        </w:rPr>
        <w:t>人员经费951.64万元，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包括：基本工资、津贴补贴、奖金、机关事业单位基本养老保险缴费、职业年金缴费、职工基本医疗保险缴费、其他社会保障缴费、住房公积金、退休费、其他对个人和家庭的补助。</w:t>
      </w:r>
    </w:p>
    <w:p>
      <w:pPr>
        <w:spacing w:line="580" w:lineRule="exact"/>
        <w:ind w:firstLine="640"/>
        <w:jc w:val="both"/>
      </w:pPr>
      <w:r>
        <w:rPr>
          <w:rFonts w:ascii="仿宋_GB2312" w:hAnsi="仿宋_GB2312" w:eastAsia="仿宋_GB2312"/>
          <w:b/>
          <w:sz w:val="32"/>
        </w:rPr>
        <w:t>公用经费32.98万元，</w:t>
      </w:r>
      <w:r>
        <w:rPr>
          <w:rFonts w:ascii="仿宋_GB2312" w:hAnsi="仿宋_GB2312" w:eastAsia="仿宋_GB2312"/>
          <w:b w:val="0"/>
          <w:sz w:val="32"/>
        </w:rPr>
        <w:t>包括：办公费、邮电费、取暖费、差旅费、劳务费、工会经费、福利费、公务用车运行维护费、其他商品和服务支出。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2024年度财政拨款“三公”经费支出3.40万元，</w:t>
      </w:r>
      <w:r>
        <w:rPr>
          <w:rFonts w:ascii="仿宋_GB2312" w:hAnsi="仿宋_GB2312" w:eastAsia="仿宋_GB2312"/>
          <w:b w:val="0"/>
          <w:sz w:val="32"/>
        </w:rPr>
        <w:t>比上年减少3.09万元，下降47.61%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3.40万元，占100.00%，比上年减少3.09万元，下降47.61%，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3.40万元，其中：公务用车购置费0.00万元，公务用车运行维护费3.40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3.40万元，决算数3.40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3.40万元，决算数3.40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2024年度阿图什市财政局（行政单位和参照公务员法管理事业单位）机关运行经费支出32.98万元，比上年减少487.44万元，下降93.66%，主要原因是：本年减少委托业务费等经费，导致机关运行经费减少。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2024年度政府采购支出总额412.59万元，其中：政府采购货物支出83.48万元、政府采购工程支出15.72万元、政府采购服务支出313.39万元。</w:t>
      </w:r>
    </w:p>
    <w:p>
      <w:pPr>
        <w:spacing w:line="580" w:lineRule="exact"/>
        <w:ind w:firstLine="640"/>
        <w:jc w:val="both"/>
      </w:pPr>
      <w:r>
        <w:rPr>
          <w:rFonts w:ascii="仿宋_GB2312" w:hAnsi="仿宋_GB2312" w:eastAsia="仿宋_GB2312"/>
          <w:b w:val="0"/>
          <w:sz w:val="32"/>
        </w:rPr>
        <w:t>授予中小企业合同金额387.11万元，占政府采购支出总额的93.82%，其中：授予小微企业合同金额245.82万元，占政府采购支出总额的59.58%。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49.23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1,520.12万元，实际执行总额1,510.53万元；预算绩效评价项目8个，全年预算数907.00万元，全年执行数487.78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阿图什市财政局贯彻落实党中央、自治区、自治州党委关于财经工作、国有资产管理工作的方针政策和决策部署以及市委工作要求，在履行职责过程中坚持和加强党对财政、国有资产管理工作的集中统一领导。根据法律法规以及本市经济和社会发展战略，编制本市长期财政计划，编制预算草案并组织监督执行，预算单位财政拨款等。 </w:t>
            </w:r>
            <w:r>
              <w:rPr>
                <w:rFonts w:ascii="宋体" w:hAnsi="宋体" w:eastAsia="宋体"/>
                <w:sz w:val="16"/>
              </w:rPr>
              <w:br w:type="textWrapping"/>
            </w:r>
            <w:r>
              <w:rPr>
                <w:rFonts w:ascii="宋体" w:hAnsi="宋体" w:eastAsia="宋体"/>
                <w:sz w:val="16"/>
              </w:rPr>
              <w:t xml:space="preserve">机构设置及人员配置：无下属预算单位，下设10个科室，编制数65，实有人数76人，在职49人，退休27人。 </w:t>
            </w:r>
            <w:r>
              <w:rPr>
                <w:rFonts w:ascii="宋体" w:hAnsi="宋体" w:eastAsia="宋体"/>
                <w:sz w:val="16"/>
              </w:rPr>
              <w:br w:type="textWrapping"/>
            </w:r>
            <w:r>
              <w:rPr>
                <w:rFonts w:ascii="宋体" w:hAnsi="宋体" w:eastAsia="宋体"/>
                <w:sz w:val="16"/>
              </w:rPr>
              <w:t>中长期规划：一是打好节流减支“铁算盘”，进一步压缩非刚性、非重点和一般性支出，把有限的财力用在刀刃上；二是大力支持</w:t>
            </w:r>
            <w:r>
              <w:rPr>
                <w:rFonts w:hint="eastAsia" w:ascii="宋体" w:hAnsi="宋体"/>
                <w:sz w:val="16"/>
                <w:lang w:eastAsia="zh-CN"/>
              </w:rPr>
              <w:t>招</w:t>
            </w:r>
            <w:r>
              <w:rPr>
                <w:rFonts w:ascii="宋体" w:hAnsi="宋体" w:eastAsia="宋体"/>
                <w:sz w:val="16"/>
              </w:rPr>
              <w:t>商引资工作，抢抓减税降费机遇，加大财源配置，扩大税收基数；三是全面梳理全市重点建设项目，加快项目支出进度，推动形成新的税收增长点；四是加大盘活存量资金、资产力度，应清尽清，将清理收回的沉淀资金统筹用于民生及重点领域支出；五是加强政府债券项目库管理，增强项目库储备量，向上级争取一般债和专项债；六是加强全市各部门协调配合，积极争取上级对口厅局的转移支付支持力度，共渡难关。</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本单位共计支出1510.53万元，主要</w:t>
            </w:r>
            <w:r>
              <w:rPr>
                <w:rFonts w:hint="eastAsia" w:ascii="宋体" w:hAnsi="宋体"/>
                <w:sz w:val="16"/>
                <w:lang w:eastAsia="zh-CN"/>
              </w:rPr>
              <w:t>用于</w:t>
            </w:r>
            <w:r>
              <w:rPr>
                <w:rFonts w:ascii="宋体" w:hAnsi="宋体" w:eastAsia="宋体"/>
                <w:sz w:val="16"/>
              </w:rPr>
              <w:t xml:space="preserve">部门单位在职人员及退休人员各项福利正常发放，公务车辆正常运转，为保障单位业务工作正常开展，在财政工作上，根据上级财政部门统一部署，上下联动组织对关系国计民生的重点行业开展会计信息质量监督检查，严肃财经纪律，围绕财政管理工作重点，实施日常监督，加强与预算、国库的协作，突出问题导向，重点关注直达资金管理及使用情况，对日常监管中发现的问题进行检查处理。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一般公共收入增长率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财会监督体系建设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财政预算绩效管理覆盖率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地方财政监管工作覆盖率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预决算信息公开及时率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根据《阿图什市财政局党组会会议纪要》，本项目资金20万元用于财政局日常业务各类票据印刷，订阅各类报刊，确保全市票据业务及订阅各类报刊工作正常开展。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本项目共计支出15.71万元，用于完成财务资料印刷4批，订阅各类报刊2批；通过实施本项目，有效确保全市票据业务及订阅各类报刊工作正常开展。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财务资料印刷数量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票据印刷合格率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原因：年初预算计划不够精准，实际完成支出金额低于预期指标；措施：今后合理安排预算，减少项目实施过程中的偏差。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财务资料印刷成本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原因：年初预算计划不够精准，实际完成支出金额低于预期指标；措施：今后合理安排预算，减少项目实施过程中的偏差。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原因：年初预算计划不够精准，实际完成支出金额低于预期指标；措施：今后合理安排预算，减少项目实施过程中的偏差。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确保全市财政工作正常开展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国资开办费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20万元，主要用于购买办公用品及耗材6批次，共计4.2万元，购买会议桌椅1套，共计2万元，购买办公桌椅12套，共计1.5万元，购买档案柜12套，共计0.96万元，购买电脑6台，共计3.6万元，购买打印机6台，共计1.75万元，购买沙发茶几6套，共计1.2万元，购买床和衣架10个，共计0.62万元，购买净水器（饮水机）1台，共计1.2万元，印刷文件和各类资料4次，共计0.97万元，其他业务工作经费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本项目共计支出5.23万元，用于购买办公用品及耗材3批次，印刷各类资料；通过项目的实施，保障业务工作顺利开展，提高日常工作效率。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原因：新成立单位，更具日常工作需求进行采购，因此指标未完成；措施：今后做好年初计划，减少项目实施过程中的偏差；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购买办公及会议室桌椅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原因：从国有企业借用办公桌椅和档案柜，因此指标未完成；措施：今后做好年初计划，减少项目实施过程中的偏差；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购买档案柜数量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原因：从国有企业借用办公桌椅和档案柜，因此指标未完成；措施：今后做好年初计划，减少项目实施过程中的偏差；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原因：有其他单位捐赠，因此未购买；措施：今后做好年初计划，减少项目实施过程中的偏差；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购买办公及会议室桌椅成本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原因：从国有企业借用办公桌椅和档案柜，因此指标未完成；措施：今后做好年初计划，减少项目实施过程中的偏差；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购买档案柜成本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原因：从国有企业借用办公桌椅和档案柜，因此指标未完成；措施：今后做好年初计划，减少项目实施过程中的偏差；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原因：有其他单位捐赠，因此未购买；措施：今后做好年初计划，减少项目实施过程中的偏差；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原因：根据实际产生的费用进行支出，因此指标存在偏差；措施：今后合理安排预算，减少项目实施过程中的偏差。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国资第三方咨询费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182万元，用于制定阿图什市国有企业改革深化提升行动实施方案；制定各国有企业改革组建方案；协助企业制定主要内控制度，通过审计，增强国有资产和资金的管理，保障各项工作顺利进行，促进国资国企业务工作提质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本项目共计支出46.8万元， 用于聘请第三方服务公司2家，出具审计报告；通过实施本项目，有效增强国有资产和资金管理，保障各项工作顺利进行，促进国资国企业务工作提质增效。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原因：年初计划不够精准，实际完成指标数据低于预期目标；措施：今后做好计划，减少项目实施过程中的偏差。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服务内容完成及时率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促进国资国企业务工作提质增效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处非、扫黑除恶、养老诈骗工作经费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安排项目资金15万元，用于处非、扫黑除恶、养老诈骗宣传等材料的制作印刷、保障日常工作开展及聘请法律顾问支出，提高全市人民对非法集资、养老诈骗风险的认知和防范能力，化解重大集资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9.76万元，用于处非、扫黑除恶、养老诈骗宣传等材料的制作印刷、保障日常工作开展及聘请法律顾问支出，提高全市人民对非法集资、养老诈骗风险的认知和防范能力，化解重大集资风险；通过实施本项目，有效提高全市人民对非法集资、养老诈骗风险的认知和防范能力，化解重大集资风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宣传材料印发数量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制作</w:t>
            </w:r>
            <w:r>
              <w:rPr>
                <w:rFonts w:ascii="宋体" w:hAnsi="宋体" w:eastAsia="宋体"/>
                <w:sz w:val="16"/>
              </w:rPr>
              <w:t>广告牌、横幅数量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原因：年初预算不精准，根据实际产生的费用支出，因此指标未完成；措施：今后做好年初预算计划，减少项目实施过程中的偏差。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业务工作开展成本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原因：年初预算不精准，根据实际产生的费用支出，因此指标未完成；措施：今后做好年初预算计划，减少项目实施过程中的偏差。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原因：年初预算不精准，根据实际产生的费用支出，因此指标未完成；措施：今后做好年初预算计划，减少项目实施过程中的偏差。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提高全市人民对诈骗风险的认知和防范能力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惠农惠民资金管理工作经费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根据《阿图什市财政局党组会会议纪要》，项目资金20万元，用于乡镇财政所规范化建设各项档案资料规范费用，通过项目实施，保障乡镇财政所及涉农整合各项工作的正常开展。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本项目共计支出7.8万元，用于乡镇财政所规范化建设工作，规范各类档案；通过实施本项目，有效保障乡镇财政所及涉农整合各项工作的正常开展。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工作管理规范率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原因：年初预算计划不够精准，实际产生的费用低于预期指标；措施：今后合理安排预算，减少项目实施过程中偏差；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原因：年初预算计划不够精准，实际产生的费用低于预期指标；措施：今后合理安排预算，减少项目实施过程中偏差；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规范化建设各项档案资料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本项目资金500万元用于决算审核、政府财务报告、内控报告、预算绩效管理、政府采购云平台服务费、国有资产清查服务费等服务三方咨询费，增强财政资金管理，保障各项财政工作顺利进行，促进财政业务工作提质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279.18万元，用于聘请11家第三方服务公司完成决算审核、政府财务报告审核、内控报告审核、预算绩效管理、政府采购云平台服务、国有资产清查服务等工作；通过实施本项目，有效增强财政资金管理，保障各项财政工作顺利进行，促进财政业务工作提质增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服务内容完成及时率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促进财政业务工作提质增效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财政系统运行维护费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根据《阿图什市财政局党组会会议纪要》，本项目资金50万元用于维护财政一体化大平台和集中财务核算系统使用期限1年，保障全市189个预算单位财政大平台正常运行。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本项目共计支出24.76万元，用于维护财政一体化大平台和运行维护机房设备；通过实施本项目，有效保障全市189个预算单位财政大平台正常运行。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一体化平台使用单位数量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机房设备运行维护次数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平台运行故障率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系统故障修复响应时间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预算一体化平台维修维护成本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原因：年初预算计划不够精准，实际支出的金额低于预期指标；措施：今后做好计划，减少项目实施过程中的偏差。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机房设备运行维护成本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原因：年初预算计划不够精准，实际支出的金额低于预期指标；措施：今后做好计划，减少项目实施过程中的偏差。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财政资金支付效率提升促进程度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平台用户满意度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财政综合楼运行维护费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根据《阿图什市财政局党组会会议纪要》，用于保障综合楼正常运转，其中全年电费30万元，水费5万元，日常维修维护15万元，购买电梯45万元，保障综合楼各单位工作正常开展。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本项目共计支出98.54万元，用于保障财政综合楼正常运转，其中全年电费30万元，水费2.64万元，日常维修维护15万元，购买电梯45万元；通过实施本项目，有效保障综合楼各单位工作正常开展。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财政综合楼运转期限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大楼正常运转率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综合楼水费成本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原因：实际产生的费用低于年初预算计划，因此指标未完成；措施：今后合理安排预算，减少项目实施过程中的偏差。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综合楼电费成本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购买办公楼电梯成本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361409"/>
    <w:rsid w:val="2FD27414"/>
    <w:rsid w:val="30A74D3E"/>
    <w:rsid w:val="313F1D52"/>
    <w:rsid w:val="318029AB"/>
    <w:rsid w:val="31C63837"/>
    <w:rsid w:val="326F0A17"/>
    <w:rsid w:val="3277581B"/>
    <w:rsid w:val="38006E2C"/>
    <w:rsid w:val="3914510A"/>
    <w:rsid w:val="3B1220C9"/>
    <w:rsid w:val="3D5275AC"/>
    <w:rsid w:val="3DC46CE2"/>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B76B2D"/>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7264</Words>
  <Characters>8164</Characters>
  <Lines>0</Lines>
  <Paragraphs>0</Paragraphs>
  <TotalTime>2</TotalTime>
  <ScaleCrop>false</ScaleCrop>
  <LinksUpToDate>false</LinksUpToDate>
  <CharactersWithSpaces>8175</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2026-01-12T08:10:33Z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