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2024年自治区人大代表活动经费项目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项目名称：2024年自治区人大代表活动经费项目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项目单位：阿图什市人民代表大会常务委员会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主管部门：阿图什市人民代表大会常务委员会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2024年自治区人大代表活动经费项目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近年来，各地人大结合实际都对代表“家室站”建设和作用发挥进行了探索，以求实现对代表履职的推动、激励和提升作用，推进了民主政治的进程，取得了良好的社会反响。工作中还要找准着力点，提升工作实效，以形成各地人大发展全过程人民民主的特色品牌和亮点。坚持党的领导是人民代表大会制度的根本政治原则，人大工作要围绕中心、服务大局，党的工作部署到哪里，我们的工作就要跟进到哪里。“家室站”的一项重要功能就是要宣传党的路线方针政策，宣传宪法、法律法规。有效发挥立法“前哨站”的作用，持续围绕涉及人民群众切身利益的问题，利用好代表“家室站”平台开展立法调研等工作，广泛征求代表和人民群众意见，以法治推动解决人民群众最期盼最关心的问题。</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下达2023年自治区人大代表活动经费的通知》【2023】4号的文件实施本项目，项目总投资32.85万元，保障代表开展集中视察、专题调研、代表小组活动、参加代表培训、列席下级人大常委会会议、代表进“家、室、站”开展活动等闭会期间活动，尊重代表主体地位，充分发挥代表作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人民代表大会常务委员会,实施单位为阿图什市人民代表大会常务委员会，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资金投入情况：本项目总投资32.85万元，资金来源为自治区专项资金。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25.92</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78.9</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b w:val="0"/>
          <w:color w:val="auto"/>
          <w:spacing w:val="-4"/>
          <w:sz w:val="32"/>
          <w:highlight w:val="none"/>
          <w:lang w:val="en-US" w:eastAsia="zh-CN"/>
        </w:rPr>
      </w:pPr>
      <w:r>
        <w:rPr>
          <w:rStyle w:val="11"/>
          <w:rFonts w:hint="eastAsia" w:ascii="仿宋_GB2312"/>
          <w:b w:val="0"/>
          <w:color w:val="auto"/>
          <w:spacing w:val="-4"/>
          <w:sz w:val="32"/>
          <w:highlight w:val="none"/>
        </w:rPr>
        <w:t>市级人大代表经费</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lang w:val="en-US" w:eastAsia="zh-CN"/>
        </w:rPr>
        <w:t>25.92万元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下达2023年自治区人大代表活动经费的通知》【2023】4号的文件实施本项目，项目总投资32.85万元，保障代表开展集中视察、专题调研、代表小组活动、参加代表培训、列席下级人大常委会会议、代表进“家、室、站”开展活动等闭会期间活动，尊重代表主体地位，充分发挥代表作用。</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重要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w:t>
      </w:r>
      <w:r>
        <w:rPr>
          <w:rFonts w:hint="eastAsia" w:ascii="仿宋_GB2312" w:hAnsi="仿宋_GB2312" w:cs="仿宋_GB2312"/>
          <w:color w:val="auto"/>
          <w:sz w:val="32"/>
          <w:szCs w:val="32"/>
          <w:highlight w:val="none"/>
          <w:lang w:eastAsia="zh-CN"/>
        </w:rPr>
        <w:t>质量</w:t>
      </w:r>
      <w:r>
        <w:rPr>
          <w:rFonts w:hint="eastAsia" w:ascii="仿宋_GB2312" w:hAnsi="仿宋_GB2312" w:cs="仿宋_GB2312"/>
          <w:color w:val="auto"/>
          <w:sz w:val="32"/>
          <w:szCs w:val="32"/>
          <w:highlight w:val="none"/>
        </w:rPr>
        <w:t>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2024年自治区人大代表活动经费项目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2024年自治区人大代表活动经费项目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2024年自治区人大代表活动经费项目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2024年自治区人大代表活动经费项目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w:t>
      </w:r>
      <w:r>
        <w:rPr>
          <w:rFonts w:hint="eastAsia" w:ascii="仿宋_GB2312" w:hAnsi="仿宋_GB2312" w:cs="仿宋_GB2312"/>
          <w:color w:val="auto"/>
          <w:sz w:val="32"/>
          <w:highlight w:val="none"/>
          <w:lang w:eastAsia="zh-CN"/>
        </w:rPr>
        <w:t>要</w:t>
      </w:r>
      <w:r>
        <w:rPr>
          <w:rFonts w:hint="eastAsia" w:ascii="仿宋_GB2312" w:hAnsi="仿宋_GB2312" w:cs="仿宋_GB2312"/>
          <w:color w:val="auto"/>
          <w:sz w:val="32"/>
          <w:highlight w:val="none"/>
        </w:rPr>
        <w:t>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2024年自治区人大代表活动经费项目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0"/>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9"/>
        <w:gridCol w:w="1860"/>
        <w:gridCol w:w="3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3059"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60"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802"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059"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郭丽盈</w:t>
            </w:r>
          </w:p>
        </w:tc>
        <w:tc>
          <w:tcPr>
            <w:tcW w:w="1860"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80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059"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阿米娜·阿布力米提</w:t>
            </w:r>
          </w:p>
        </w:tc>
        <w:tc>
          <w:tcPr>
            <w:tcW w:w="1860"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80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059"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阿扎提古丽·吐库</w:t>
            </w:r>
          </w:p>
        </w:tc>
        <w:tc>
          <w:tcPr>
            <w:tcW w:w="1860"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80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自治区人大代表活动经费项目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组织管理、产出与效益效果。在此基础上，以相关的项目数据为基础，综合运用不同的评价方法，结合评价标准和评分规则，2024年自治区人大代表活动经费项目综合得分为87.7分，</w:t>
      </w:r>
      <w:r>
        <w:rPr>
          <w:rFonts w:hint="eastAsia" w:ascii="仿宋_GB2312" w:hAnsi="Cambria" w:eastAsia="仿宋_GB2312"/>
          <w:color w:val="auto"/>
          <w:sz w:val="32"/>
          <w:szCs w:val="32"/>
          <w:highlight w:val="none"/>
        </w:rPr>
        <w:t>评价结果为良。</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2024年自治区人大代表活动经费项目评价得分情况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63"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预算执行率扣1分</w:t>
            </w:r>
          </w:p>
        </w:tc>
      </w:tr>
      <w:tr>
        <w:tblPrEx>
          <w:tblLayout w:type="fixed"/>
          <w:tblCellMar>
            <w:top w:w="0" w:type="dxa"/>
            <w:left w:w="10" w:type="dxa"/>
            <w:bottom w:w="0" w:type="dxa"/>
            <w:right w:w="10" w:type="dxa"/>
          </w:tblCellMar>
        </w:tblPrEx>
        <w:trPr>
          <w:trHeight w:val="1153"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18.7</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数量指标扣5.9分</w:t>
            </w:r>
          </w:p>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成本指标扣5.4分</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87.7</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2024年自治区人大代表活动经费项目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w:t>
      </w:r>
      <w:r>
        <w:rPr>
          <w:rFonts w:hint="eastAsia" w:ascii="仿宋_GB2312" w:hAnsi="仿宋_GB2312" w:cs="仿宋_GB2312"/>
          <w:color w:val="auto"/>
          <w:sz w:val="32"/>
          <w:szCs w:val="32"/>
          <w:highlight w:val="none"/>
          <w:lang w:val="en-US" w:eastAsia="zh-CN"/>
        </w:rPr>
        <w:t>发放市级人大代表补助人数180人</w:t>
      </w:r>
      <w:r>
        <w:rPr>
          <w:rFonts w:hint="eastAsia" w:ascii="仿宋_GB2312" w:hAnsi="仿宋_GB2312" w:cs="仿宋_GB2312"/>
          <w:color w:val="auto"/>
          <w:sz w:val="32"/>
          <w:szCs w:val="32"/>
          <w:highlight w:val="none"/>
        </w:rPr>
        <w:t>等工作；通过该项目的实施</w:t>
      </w:r>
      <w:r>
        <w:rPr>
          <w:rFonts w:hint="eastAsia" w:ascii="仿宋_GB2312" w:hAnsi="仿宋_GB2312" w:cs="仿宋_GB2312"/>
          <w:color w:val="auto"/>
          <w:sz w:val="32"/>
          <w:szCs w:val="32"/>
          <w:highlight w:val="none"/>
          <w:lang w:val="en-US" w:eastAsia="zh-CN"/>
        </w:rPr>
        <w:t>保障代表开展集中视察、专题调研、代表小组活动、参加代表培训、列席下级人大常委会会议、代表进“家、室、站”开展活动等闭会期间活动，尊重代表主体地位，充分发挥代表作用。</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2024年自治区人大代表活动经费项目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25.92</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87.7</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自治区人大代表活动经费项目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2024年自治区人大代表活动经费项目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2024年自治区人大代表活动经费项目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2024年自治区人大代表活动</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2024年自治区人大代表活动经费项目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数量指标为市级人大代表数量，预期指标值是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197人，实际完成值是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lang w:val="en-US" w:eastAsia="zh-CN"/>
        </w:rPr>
        <w:t>180</w:t>
      </w:r>
      <w:r>
        <w:rPr>
          <w:rFonts w:hint="eastAsia" w:ascii="仿宋_GB2312" w:hAnsi="仿宋_GB2312" w:cs="仿宋_GB2312"/>
          <w:color w:val="auto"/>
          <w:sz w:val="32"/>
          <w:szCs w:val="32"/>
          <w:highlight w:val="none"/>
        </w:rPr>
        <w:t>人，指标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达到预期目标。原因：根据实际情况进行发放，因此指标存在偏差；措施：今后做好项目计划，减少偏差。</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数量指标为无固定收入代表人数，预期指标值是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60人，实际完成值是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0人，指标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达到预期目标。原因：根据实际情况进行发放，因此指标存在偏差；措施：今后做好项目计划，减少偏差。</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数量指标为乡镇级人大代表人数，预期指标值是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457人，实际完成值是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0人，指标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达到预期目标。原因：根据实际情况进行发放，因此指标存在偏差；措施：今后做好项目计划，减少偏差。</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质量指标为资金支付准确率，预期指标值是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lang w:val="en-US" w:eastAsia="zh-CN"/>
        </w:rPr>
        <w:t>100</w:t>
      </w:r>
      <w:r>
        <w:rPr>
          <w:rFonts w:hint="eastAsia" w:ascii="仿宋_GB2312"/>
          <w:color w:val="auto"/>
          <w:sz w:val="32"/>
          <w:szCs w:val="32"/>
          <w:highlight w:val="none"/>
        </w:rPr>
        <w:t>%，指标达到预期目标。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val="en-US" w:eastAsia="zh-CN"/>
        </w:rPr>
        <w:t>2024年12月</w:t>
      </w:r>
      <w:r>
        <w:rPr>
          <w:rFonts w:hint="eastAsia" w:ascii="仿宋_GB2312"/>
          <w:color w:val="auto"/>
          <w:sz w:val="32"/>
          <w:szCs w:val="32"/>
          <w:highlight w:val="none"/>
        </w:rPr>
        <w:t>，指标达到预期目标。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成本指标为市级人大代表经费标准，预期指标值是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1500元/人，实际完成值是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lang w:val="en-US" w:eastAsia="zh-CN"/>
        </w:rPr>
        <w:t>1440</w:t>
      </w:r>
      <w:r>
        <w:rPr>
          <w:rFonts w:hint="eastAsia" w:ascii="仿宋_GB2312"/>
          <w:color w:val="auto"/>
          <w:sz w:val="32"/>
          <w:szCs w:val="32"/>
          <w:highlight w:val="none"/>
        </w:rPr>
        <w:t>元/人，指标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达到预期目标。原因：根据实际情况进行发放，因此指标存在偏差；措施：今后做好项目计划，减少偏差。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成本指标为无固定收入代表成本，预期指标值是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250元/人，实际完成值是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0元/人，指标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达到预期目标。原因：根据实际情况进行发放，因此指标存在偏差；措施：今后做好项目计划，减少偏差。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成本指标为乡镇级人大代表成本，预期指标值是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1.80万元，实际完成值是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达到预期目标。原因：根据实际情况进行发放，因此指标存在偏差；措施：今后做好项目计划，减少偏差。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指标为履职活动固定场地环境及安全，预期指标值是显著提升，实际完成值是</w:t>
      </w:r>
      <w:r>
        <w:rPr>
          <w:rFonts w:hint="eastAsia" w:ascii="仿宋_GB2312"/>
          <w:color w:val="auto"/>
          <w:sz w:val="32"/>
          <w:szCs w:val="32"/>
          <w:highlight w:val="none"/>
          <w:lang w:val="en-US" w:eastAsia="zh-CN"/>
        </w:rPr>
        <w:t>显著提升</w:t>
      </w:r>
      <w:r>
        <w:rPr>
          <w:rFonts w:hint="eastAsia" w:ascii="仿宋_GB2312"/>
          <w:color w:val="auto"/>
          <w:sz w:val="32"/>
          <w:szCs w:val="32"/>
          <w:highlight w:val="none"/>
        </w:rPr>
        <w:t>，指标达到预期目标。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满意度指标为为活动代表提供服务的满意度，预期指标值是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lang w:val="en-US" w:eastAsia="zh-CN"/>
        </w:rPr>
        <w:t>95</w:t>
      </w:r>
      <w:r>
        <w:rPr>
          <w:rFonts w:hint="eastAsia" w:ascii="仿宋_GB2312"/>
          <w:color w:val="auto"/>
          <w:sz w:val="32"/>
          <w:szCs w:val="32"/>
          <w:highlight w:val="none"/>
        </w:rPr>
        <w:t>%，指标达到预期目标。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w:t>
      </w:r>
      <w:r>
        <w:rPr>
          <w:rFonts w:hint="eastAsia" w:ascii="仿宋_GB2312" w:hAnsi="仿宋_GB2312" w:eastAsia="仿宋_GB2312" w:cs="仿宋_GB2312"/>
          <w:b w:val="0"/>
          <w:bCs w:val="0"/>
          <w:color w:val="auto"/>
          <w:sz w:val="32"/>
          <w:szCs w:val="32"/>
          <w:highlight w:val="none"/>
          <w:lang w:val="en-US" w:eastAsia="zh-CN" w:bidi="ar-SA"/>
        </w:rPr>
        <w:t>成本效益分析法、比较法、因素分析法、最低成本法、</w:t>
      </w:r>
      <w:r>
        <w:rPr>
          <w:rFonts w:hint="eastAsia"/>
          <w:b w:val="0"/>
          <w:bCs w:val="0"/>
          <w:color w:val="auto"/>
          <w:highlight w:val="none"/>
        </w:rPr>
        <w:t>使项目取得</w:t>
      </w:r>
      <w:r>
        <w:rPr>
          <w:rFonts w:hint="eastAsia"/>
          <w:b w:val="0"/>
          <w:color w:val="auto"/>
          <w:highlight w:val="none"/>
        </w:rPr>
        <w:t>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32.85</w:t>
      </w:r>
      <w:r>
        <w:rPr>
          <w:rFonts w:hint="eastAsia"/>
          <w:color w:val="auto"/>
          <w:sz w:val="32"/>
          <w:highlight w:val="none"/>
        </w:rPr>
        <w:t>万元，执行数</w:t>
      </w:r>
      <w:r>
        <w:rPr>
          <w:rFonts w:hint="eastAsia"/>
          <w:color w:val="auto"/>
          <w:sz w:val="32"/>
          <w:highlight w:val="none"/>
          <w:lang w:val="en-US" w:eastAsia="zh-CN"/>
        </w:rPr>
        <w:t>25.92</w:t>
      </w:r>
      <w:r>
        <w:rPr>
          <w:rFonts w:hint="eastAsia"/>
          <w:color w:val="auto"/>
          <w:sz w:val="32"/>
          <w:highlight w:val="none"/>
        </w:rPr>
        <w:t>万元，执行率</w:t>
      </w:r>
      <w:r>
        <w:rPr>
          <w:rFonts w:hint="eastAsia"/>
          <w:color w:val="auto"/>
          <w:sz w:val="32"/>
          <w:highlight w:val="none"/>
          <w:lang w:val="en-US" w:eastAsia="zh-CN"/>
        </w:rPr>
        <w:t>78.9</w:t>
      </w:r>
      <w:r>
        <w:rPr>
          <w:rFonts w:hint="eastAsia"/>
          <w:color w:val="auto"/>
          <w:sz w:val="32"/>
          <w:highlight w:val="none"/>
        </w:rPr>
        <w:t>%，绩效指标完成率</w:t>
      </w:r>
      <w:r>
        <w:rPr>
          <w:rFonts w:hint="eastAsia"/>
          <w:color w:val="auto"/>
          <w:sz w:val="32"/>
          <w:highlight w:val="none"/>
          <w:lang w:val="en-US" w:eastAsia="zh-CN"/>
        </w:rPr>
        <w:t>57.9</w:t>
      </w:r>
      <w:r>
        <w:rPr>
          <w:rFonts w:hint="eastAsia"/>
          <w:color w:val="auto"/>
          <w:sz w:val="32"/>
          <w:highlight w:val="none"/>
        </w:rPr>
        <w:t>%，偏差率</w:t>
      </w:r>
      <w:r>
        <w:rPr>
          <w:rFonts w:hint="eastAsia"/>
          <w:color w:val="auto"/>
          <w:sz w:val="32"/>
          <w:highlight w:val="none"/>
          <w:lang w:val="en-US" w:eastAsia="zh-CN"/>
        </w:rPr>
        <w:t>21</w:t>
      </w:r>
      <w:r>
        <w:rPr>
          <w:rFonts w:hint="eastAsia"/>
          <w:color w:val="auto"/>
          <w:sz w:val="32"/>
          <w:highlight w:val="none"/>
        </w:rPr>
        <w:t>%。偏差原因：原因：根据实际情况进行发放，因此指标存在偏差。</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87.7</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CE6BB"/>
    <w:multiLevelType w:val="multilevel"/>
    <w:tmpl w:val="68CCE6BB"/>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CE6C6"/>
    <w:multiLevelType w:val="singleLevel"/>
    <w:tmpl w:val="68CCE6C6"/>
    <w:lvl w:ilvl="0" w:tentative="0">
      <w:start w:val="3"/>
      <w:numFmt w:val="decimal"/>
      <w:suff w:val="nothing"/>
      <w:lvlText w:val="%1．"/>
      <w:lvlJc w:val="left"/>
      <w:rPr>
        <w:rFonts w:hint="default"/>
        <w:b/>
        <w:bCs/>
        <w:color w:val="auto"/>
      </w:rPr>
    </w:lvl>
  </w:abstractNum>
  <w:abstractNum w:abstractNumId="2">
    <w:nsid w:val="68CCE6D1"/>
    <w:multiLevelType w:val="singleLevel"/>
    <w:tmpl w:val="68CCE6D1"/>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64B51BE2"/>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Body text|1_"/>
    <w:link w:val="27"/>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77905464C32446328DAEEAB0DF3E8C75_13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27f9ee-5696-4eca-ad47-df338c2fea54}">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24</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2025-09-19T05:14:24Z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77905464C32446328DAEEAB0DF3E8C75_13</vt:lpwstr>
  </property>
  <property fmtid="{D5CDD505-2E9C-101B-9397-08002B2CF9AE}" pid="4" name="KSOTemplateDocerSaveRecord">
    <vt:lpwstr>eyJoZGlkIjoiYzZkNzQ4ZWFiZmQ4NTRhOWRkZTk3YTMwMjlmMmZhYmUiLCJ1c2VySWQiOiI1NzgxMjU4NDIifQ_x003D__x003D_</vt:lpwstr>
  </property>
</Properties>
</file>