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食用农产品抽检经费</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项目名称：食用农产品抽检经费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项目单位：阿图什市市场监督管理局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主管部门：阿图什市市场监督管理局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食用农产品抽检经费</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近年来，各级市场监管部门按照“四个最严”要求，不断加大市场销售食用农产品抽检力度，对不合格食用农产品及时核查处置，取得一定成效。但是食用农产品</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预包装食品差异较大，基层普遍反映存在不合格产品追溯难、备样保存难、核查处置难等一些难点问题。为切实保障人民群众食品安全，督促食用农产品销售者履行主体责任，促进食用农产品源头治理，控制不合格食用农产品安全风险，市场监管总局在实地调研、广泛征求各有关方意见建议基础上，充分考虑食用农产品属性、行业发展水平、监管制度等特点，</w:t>
      </w:r>
      <w:r>
        <w:rPr>
          <w:rFonts w:ascii="仿宋_GB2312" w:hAnsi="仿宋_GB2312" w:cs="仿宋_GB2312" w:hint="eastAsia"/>
          <w:color w:val="auto"/>
          <w:sz w:val="32"/>
          <w:szCs w:val="32"/>
          <w:highlight w:val="none"/>
          <w:lang w:val="en-US" w:eastAsia="zh-CN"/>
        </w:rPr>
        <w:t xml:space="preserve">开展食用农产品抽检经费项目</w:t>
      </w:r>
      <w:r>
        <w:rPr>
          <w:rFonts w:ascii="仿宋_GB2312" w:hAnsi="仿宋_GB2312" w:cs="仿宋_GB2312" w:hint="eastAsia"/>
          <w:color w:val="auto"/>
          <w:sz w:val="32"/>
          <w:szCs w:val="32"/>
          <w:highlight w:val="none"/>
        </w:rPr>
        <w:t xml:space="preserve">。</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自治区市场监督管理局关于印发2023年全系统食品安全抽检监测计划的通知》（新市监食检【2023】35号）、《阿图什市市场监督管理局党组会议纪要（阿市监党组纪字【2023】23号）》，安排项目资金111万元，聘请第三方抽检机构数量1家，抽检食用农产品种类7种，食用农产品抽检批次1500批次，食用农产品抽检覆盖率达到98%以上，保障食用农产品安全、促进食用农产品市场健康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市场监督管理局,实施单位为阿图什市市场监督管理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00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自治区市场监督管理局关于印发2023年全系统食品安全抽检监测计划的通知（新市监食检【2023】35号）文件》、《阿图什市市场监督管理局党组会议纪要（阿市监党组纪字【2023】23号）》，安排项目资金111万元，聘请第三方抽检机构数量1家，抽检食用农产品种类7种，食用农产品抽检批次1500批次，食用农产品抽检覆盖率达到98%以上，保障食用农产品质量安全、促进食用农产品市场健康发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食用农产品抽检经费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食用农产品抽检经费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食用农产品抽检经费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食用农产品抽检经费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吐逊江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候莉莉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马依热</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食用农产品抽检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组织管理、产出与效益效果。在此基础上，以相关的项目数据为基础，综合运用不同的评价方法，结合评价标准和评分规则，食用农产品抽检经费综合得分为87.88分，</w:t>
      </w:r>
      <w:r>
        <w:rPr>
          <w:rFonts w:ascii="仿宋_GB2312" w:eastAsia="仿宋_GB2312" w:hAnsi="Cambria" w:hint="eastAsia"/>
          <w:color w:val="auto"/>
          <w:sz w:val="32"/>
          <w:szCs w:val="32"/>
          <w:highlight w:val="none"/>
        </w:rPr>
        <w:t xml:space="preserve">评价结果为良。</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年食用农产品抽检经费评价得分情况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61"/>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50"/>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预算执行率扣5分</w:t>
            </w:r>
          </w:p>
        </w:tc>
      </w:tr>
      <w:tr>
        <w:tblPrEx>
          <w:tblW w:w="9309" w:type="dxa"/>
          <w:tblLayout w:type="fixed"/>
          <w:tblCellMar>
            <w:top w:w="0" w:type="dxa"/>
            <w:left w:w="10" w:type="dxa"/>
            <w:bottom w:w="0" w:type="dxa"/>
            <w:right w:w="10" w:type="dxa"/>
          </w:tblCellMar>
        </w:tblPrEx>
        <w:trPr>
          <w:trHeight w:hRule="exact" w:val="114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22.88</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数量指标扣0.12分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成本指标扣7分</w:t>
            </w:r>
          </w:p>
        </w:tc>
      </w:tr>
      <w:tr>
        <w:tblPrEx>
          <w:tblW w:w="9309" w:type="dxa"/>
          <w:tblLayout w:type="fixed"/>
          <w:tblCellMar>
            <w:top w:w="0" w:type="dxa"/>
            <w:left w:w="10" w:type="dxa"/>
            <w:bottom w:w="0" w:type="dxa"/>
            <w:right w:w="10" w:type="dxa"/>
          </w:tblCellMar>
        </w:tblPrEx>
        <w:trPr>
          <w:trHeight w:hRule="exact" w:val="62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87.88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聘请第三方抽检机构数量1家，抽检食用农产品种类7种，食用农产品抽检批次1432批次，食用农产品抽检覆盖率达到98%以上等工作；通过该项目的实施保障食用农产品质量安全、促进食用农产品市场健康发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0</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87.88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w:t>
      </w:r>
      <w:r>
        <w:rPr>
          <w:rFonts w:ascii="仿宋_GB2312" w:hAnsi="仿宋_GB2312" w:cs="仿宋_GB2312" w:hint="eastAsia"/>
          <w:color w:val="auto"/>
          <w:sz w:val="32"/>
          <w:szCs w:val="32"/>
          <w:highlight w:val="none"/>
          <w:lang w:eastAsia="zh-CN"/>
        </w:rPr>
        <w:t xml:space="preserve">掌握</w:t>
      </w:r>
      <w:r>
        <w:rPr>
          <w:rFonts w:ascii="仿宋_GB2312" w:hAnsi="仿宋_GB2312" w:cs="仿宋_GB2312" w:hint="eastAsia"/>
          <w:color w:val="auto"/>
          <w:sz w:val="32"/>
          <w:szCs w:val="32"/>
          <w:highlight w:val="none"/>
        </w:rPr>
        <w:t xml:space="preserve">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食用农产品抽检经费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数量指标为聘请第三方抽检机构数量，预期指标值是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1家，指标达到预期目标。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数量指标为抽检食用农产品种类，预期指标值是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7种，实际完成值是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7种，指标达到预期目标。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数量指标为食用农产品抽检批次，预期指标值是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1500批次，实际完成值是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1432批次，指标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达到预期目标。原因：根据自治区抽检方案要求批次完成，指标未完成，存在偏差；措施：今后合理安排计划，提高工作质量，减少偏差。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质量指标为食用农产品抽检覆盖率，预期指标值是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98%，实际完成值是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98%，指标达到预期目标。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成本指标为食用农产品抽检成本，预期指标值是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740元/批次，实际完成值是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0元/批次，指标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达到预期目标。原因：因项目支出审批资料待完善，未拨付；措施：今后做好预算支出计划，提高预算执行率，减少偏差。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指标为促进食用农产品市场健康发展，预期指标值是长期，实际完成值是长期，指标达到预期目标。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111</w:t>
      </w:r>
      <w:r>
        <w:rPr>
          <w:rFonts w:hint="eastAsia"/>
          <w:color w:val="auto"/>
          <w:sz w:val="32"/>
          <w:highlight w:val="none"/>
        </w:rPr>
        <w:t xml:space="preserve">万元，执行数</w:t>
      </w:r>
      <w:r>
        <w:rPr>
          <w:rFonts w:hint="eastAsia"/>
          <w:color w:val="auto"/>
          <w:sz w:val="32"/>
          <w:highlight w:val="none"/>
          <w:lang w:val="en-US" w:eastAsia="zh-CN"/>
        </w:rPr>
        <w:t xml:space="preserve">0</w:t>
      </w:r>
      <w:r>
        <w:rPr>
          <w:rFonts w:hint="eastAsia"/>
          <w:color w:val="auto"/>
          <w:sz w:val="32"/>
          <w:highlight w:val="none"/>
        </w:rPr>
        <w:t xml:space="preserve">万元，执行率</w:t>
      </w:r>
      <w:r>
        <w:rPr>
          <w:rFonts w:hint="eastAsia"/>
          <w:color w:val="auto"/>
          <w:sz w:val="32"/>
          <w:highlight w:val="none"/>
          <w:lang w:val="en-US" w:eastAsia="zh-CN"/>
        </w:rPr>
        <w:t xml:space="preserve">0</w:t>
      </w:r>
      <w:r>
        <w:rPr>
          <w:rFonts w:hint="eastAsia"/>
          <w:color w:val="auto"/>
          <w:sz w:val="32"/>
          <w:highlight w:val="none"/>
        </w:rPr>
        <w:t xml:space="preserve">%，绩效指标完成率</w:t>
      </w:r>
      <w:r>
        <w:rPr>
          <w:rFonts w:hint="eastAsia"/>
          <w:color w:val="auto"/>
          <w:sz w:val="32"/>
          <w:highlight w:val="none"/>
          <w:lang w:val="en-US" w:eastAsia="zh-CN"/>
        </w:rPr>
        <w:t xml:space="preserve">86.9</w:t>
      </w:r>
      <w:r>
        <w:rPr>
          <w:rFonts w:hint="eastAsia"/>
          <w:color w:val="auto"/>
          <w:sz w:val="32"/>
          <w:highlight w:val="none"/>
        </w:rPr>
        <w:t xml:space="preserve">%，偏差率</w:t>
      </w:r>
      <w:r>
        <w:rPr>
          <w:rFonts w:hint="eastAsia"/>
          <w:color w:val="auto"/>
          <w:sz w:val="32"/>
          <w:highlight w:val="none"/>
          <w:lang w:val="en-US" w:eastAsia="zh-CN"/>
        </w:rPr>
        <w:t xml:space="preserve">86.9</w:t>
      </w:r>
      <w:r>
        <w:rPr>
          <w:rFonts w:hint="eastAsia"/>
          <w:color w:val="auto"/>
          <w:sz w:val="32"/>
          <w:highlight w:val="none"/>
        </w:rPr>
        <w:t xml:space="preserve">%。偏差原因：项目年初计划实施任务数量过高，抽检数量减少，因支出资料待完善资金未拨付，预算执行率偏低，未达预期目标，待提高工作质量和进度。</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7.88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87.88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2D134C94C9664D36835E965311801449_13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2D134C94C9664D36835E965311801449_13</vt:lpwstr>
  </property>
  <property fmtid="{D5CDD505-2E9C-101B-9397-08002B2CF9AE}" pid="4" name="KSOTemplateDocerSaveRecord">
    <vt:lpwstr>eyJoZGlkIjoiYzZkNzQ4ZWFiZmQ4NTRhOWRkZTk3YTMwMjlmMmZhYmUiLCJ1c2VySWQiOiI1NzgxMjU4NDIifQ_x003D__x003D_</vt:lpwstr>
  </property>
</Properties>
</file>