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阿图什市市场监督管理局2024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1.负责市场综合监督管理和知识产权管理。</w:t>
      </w:r>
    </w:p>
    <w:p>
      <w:pPr>
        <w:spacing w:line="580" w:lineRule="exact"/>
        <w:ind w:firstLine="640"/>
        <w:jc w:val="both"/>
      </w:pPr>
      <w:r>
        <w:rPr>
          <w:rFonts w:ascii="仿宋_GB2312" w:hAnsi="仿宋_GB2312" w:eastAsia="仿宋_GB2312"/>
          <w:sz w:val="32"/>
        </w:rPr>
        <w:t>2.负责市场主体统一登记注册。</w:t>
      </w:r>
    </w:p>
    <w:p>
      <w:pPr>
        <w:spacing w:line="580" w:lineRule="exact"/>
        <w:ind w:firstLine="640"/>
        <w:jc w:val="both"/>
      </w:pPr>
      <w:r>
        <w:rPr>
          <w:rFonts w:ascii="仿宋_GB2312" w:hAnsi="仿宋_GB2312" w:eastAsia="仿宋_GB2312"/>
          <w:sz w:val="32"/>
        </w:rPr>
        <w:t>3.负责组织指导市场监管和知识产权综合执法工作。</w:t>
      </w:r>
    </w:p>
    <w:p>
      <w:pPr>
        <w:spacing w:line="580" w:lineRule="exact"/>
        <w:ind w:firstLine="640"/>
        <w:jc w:val="both"/>
      </w:pPr>
      <w:r>
        <w:rPr>
          <w:rFonts w:ascii="仿宋_GB2312" w:hAnsi="仿宋_GB2312" w:eastAsia="仿宋_GB2312"/>
          <w:sz w:val="32"/>
        </w:rPr>
        <w:t>4.负责反垄断统一执法。</w:t>
      </w:r>
    </w:p>
    <w:p>
      <w:pPr>
        <w:spacing w:line="580" w:lineRule="exact"/>
        <w:ind w:firstLine="640"/>
        <w:jc w:val="both"/>
      </w:pPr>
      <w:r>
        <w:rPr>
          <w:rFonts w:ascii="仿宋_GB2312" w:hAnsi="仿宋_GB2312" w:eastAsia="仿宋_GB2312"/>
          <w:sz w:val="32"/>
        </w:rPr>
        <w:t>5.负责监督管理市场秩序。</w:t>
      </w:r>
    </w:p>
    <w:p>
      <w:pPr>
        <w:spacing w:line="580" w:lineRule="exact"/>
        <w:ind w:firstLine="640"/>
        <w:jc w:val="both"/>
      </w:pPr>
      <w:r>
        <w:rPr>
          <w:rFonts w:hint="eastAsia" w:ascii="仿宋_GB2312" w:hAnsi="仿宋_GB2312" w:eastAsia="仿宋_GB2312"/>
          <w:sz w:val="32"/>
          <w:lang w:val="en-US" w:eastAsia="zh-CN"/>
        </w:rPr>
        <w:t>6</w:t>
      </w:r>
      <w:r>
        <w:rPr>
          <w:rFonts w:ascii="仿宋_GB2312" w:hAnsi="仿宋_GB2312" w:eastAsia="仿宋_GB2312"/>
          <w:sz w:val="32"/>
        </w:rPr>
        <w:t>.负责特种设备安全监督管理。</w:t>
      </w:r>
    </w:p>
    <w:p>
      <w:pPr>
        <w:spacing w:line="580" w:lineRule="exact"/>
        <w:ind w:firstLine="640"/>
        <w:jc w:val="both"/>
      </w:pPr>
      <w:r>
        <w:rPr>
          <w:rFonts w:hint="eastAsia" w:ascii="仿宋_GB2312" w:hAnsi="仿宋_GB2312" w:eastAsia="仿宋_GB2312"/>
          <w:sz w:val="32"/>
          <w:lang w:val="en-US" w:eastAsia="zh-CN"/>
        </w:rPr>
        <w:t>7</w:t>
      </w:r>
      <w:r>
        <w:rPr>
          <w:rFonts w:ascii="仿宋_GB2312" w:hAnsi="仿宋_GB2312" w:eastAsia="仿宋_GB2312"/>
          <w:sz w:val="32"/>
        </w:rPr>
        <w:t>.负责食品安全监督管理。</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阿图什市市场监督管理局2024年度，实有人数93人，其中：在职人员46人，增加2人；离休人员0人，增加0人；退休人员47人,增加4人。</w:t>
      </w:r>
    </w:p>
    <w:p>
      <w:pPr>
        <w:spacing w:line="580" w:lineRule="exact"/>
        <w:ind w:firstLine="640"/>
        <w:jc w:val="both"/>
      </w:pPr>
      <w:r>
        <w:rPr>
          <w:rFonts w:ascii="仿宋_GB2312" w:hAnsi="仿宋_GB2312" w:eastAsia="仿宋_GB2312"/>
          <w:sz w:val="32"/>
        </w:rPr>
        <w:t>阿图什市市场监督管理局无下属预算单位，下设12个科室，分别是：</w:t>
      </w:r>
      <w:r>
        <w:rPr>
          <w:rFonts w:hint="eastAsia" w:ascii="仿宋_GB2312" w:hAnsi="仿宋_GB2312" w:eastAsia="仿宋_GB2312"/>
          <w:sz w:val="32"/>
          <w:lang w:eastAsia="zh-CN"/>
        </w:rPr>
        <w:t>高质量</w:t>
      </w:r>
      <w:r>
        <w:rPr>
          <w:rFonts w:ascii="仿宋_GB2312" w:hAnsi="仿宋_GB2312" w:eastAsia="仿宋_GB2312"/>
          <w:sz w:val="32"/>
        </w:rPr>
        <w:t>发展安全监督管理室、综合办公室、法规纪检监察室、登记注册行政许可审批信用监管</w:t>
      </w:r>
      <w:r>
        <w:rPr>
          <w:rFonts w:hint="eastAsia" w:ascii="仿宋_GB2312" w:hAnsi="仿宋_GB2312" w:eastAsia="仿宋_GB2312"/>
          <w:sz w:val="32"/>
          <w:lang w:eastAsia="zh-CN"/>
        </w:rPr>
        <w:t>室</w:t>
      </w:r>
      <w:r>
        <w:rPr>
          <w:rFonts w:ascii="仿宋_GB2312" w:hAnsi="仿宋_GB2312" w:eastAsia="仿宋_GB2312"/>
          <w:sz w:val="32"/>
        </w:rPr>
        <w:t>、特种设备安全监察室、</w:t>
      </w:r>
      <w:r>
        <w:rPr>
          <w:rFonts w:hint="eastAsia" w:ascii="仿宋_GB2312" w:hAnsi="仿宋_GB2312" w:eastAsia="仿宋_GB2312"/>
          <w:sz w:val="32"/>
          <w:lang w:eastAsia="zh-CN"/>
        </w:rPr>
        <w:t>标准</w:t>
      </w:r>
      <w:r>
        <w:rPr>
          <w:rFonts w:ascii="仿宋_GB2312" w:hAnsi="仿宋_GB2312" w:eastAsia="仿宋_GB2312"/>
          <w:sz w:val="32"/>
        </w:rPr>
        <w:t>计量认证认可监督管理室、食品安全协调室、食品生产室</w:t>
      </w:r>
      <w:r>
        <w:rPr>
          <w:rFonts w:hint="eastAsia" w:ascii="仿宋_GB2312" w:hAnsi="仿宋_GB2312" w:eastAsia="仿宋_GB2312"/>
          <w:sz w:val="32"/>
          <w:lang w:eastAsia="zh-CN"/>
        </w:rPr>
        <w:t>、</w:t>
      </w:r>
      <w:r>
        <w:rPr>
          <w:rFonts w:ascii="仿宋_GB2312" w:hAnsi="仿宋_GB2312" w:eastAsia="仿宋_GB2312"/>
          <w:sz w:val="32"/>
        </w:rPr>
        <w:t>食品保护科、药品医疗器械生产流通监督管理室、价格和反垄断反不正当竞争执法监督监察知识产权室、综合执法队。</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2024年度收入总计992.07万元，</w:t>
      </w:r>
      <w:r>
        <w:rPr>
          <w:rFonts w:ascii="仿宋_GB2312" w:hAnsi="仿宋_GB2312" w:eastAsia="仿宋_GB2312"/>
          <w:b w:val="0"/>
          <w:sz w:val="32"/>
        </w:rPr>
        <w:t>其中：本年收入合计983.09万元，使用非财政拨款结余（含专用结余）0.00万元，年初结转和结余8.98万元。</w:t>
      </w:r>
    </w:p>
    <w:p>
      <w:pPr>
        <w:spacing w:line="580" w:lineRule="exact"/>
        <w:ind w:firstLine="640"/>
        <w:jc w:val="both"/>
      </w:pPr>
      <w:r>
        <w:rPr>
          <w:rFonts w:ascii="仿宋_GB2312" w:hAnsi="仿宋_GB2312" w:eastAsia="仿宋_GB2312"/>
          <w:b/>
          <w:sz w:val="32"/>
        </w:rPr>
        <w:t>2024年度支出总计992.07万元，</w:t>
      </w:r>
      <w:r>
        <w:rPr>
          <w:rFonts w:ascii="仿宋_GB2312" w:hAnsi="仿宋_GB2312" w:eastAsia="仿宋_GB2312"/>
          <w:b w:val="0"/>
          <w:sz w:val="32"/>
        </w:rPr>
        <w:t>其中：本年支出合计964.23万元，结余分配0.00万元，年末结转和结余27.84万元。</w:t>
      </w:r>
    </w:p>
    <w:p>
      <w:pPr>
        <w:spacing w:line="580" w:lineRule="exact"/>
        <w:ind w:firstLine="640"/>
        <w:jc w:val="both"/>
      </w:pPr>
      <w:r>
        <w:rPr>
          <w:rFonts w:ascii="仿宋_GB2312" w:hAnsi="仿宋_GB2312" w:eastAsia="仿宋_GB2312"/>
          <w:b w:val="0"/>
          <w:sz w:val="32"/>
        </w:rPr>
        <w:t>收入支出总体与上年相比，减少64.40万元，下降6.10%，主要原因是：1</w:t>
      </w:r>
      <w:r>
        <w:rPr>
          <w:rFonts w:hint="eastAsia" w:ascii="仿宋_GB2312" w:hAnsi="仿宋_GB2312" w:eastAsia="仿宋_GB2312"/>
          <w:b w:val="0"/>
          <w:sz w:val="32"/>
          <w:lang w:eastAsia="zh-CN"/>
        </w:rPr>
        <w:t>.</w:t>
      </w:r>
      <w:r>
        <w:rPr>
          <w:rFonts w:ascii="仿宋_GB2312" w:hAnsi="仿宋_GB2312" w:eastAsia="仿宋_GB2312"/>
          <w:b w:val="0"/>
          <w:sz w:val="32"/>
        </w:rPr>
        <w:t>本年</w:t>
      </w:r>
      <w:r>
        <w:rPr>
          <w:rFonts w:hint="eastAsia" w:ascii="仿宋_GB2312" w:hAnsi="仿宋_GB2312" w:eastAsia="仿宋_GB2312"/>
          <w:b w:val="0"/>
          <w:sz w:val="32"/>
          <w:lang w:eastAsia="zh-CN"/>
        </w:rPr>
        <w:t>4名在职人员转退休，</w:t>
      </w:r>
      <w:r>
        <w:rPr>
          <w:rFonts w:ascii="仿宋_GB2312" w:hAnsi="仿宋_GB2312" w:eastAsia="仿宋_GB2312"/>
          <w:b w:val="0"/>
          <w:sz w:val="32"/>
        </w:rPr>
        <w:t>相关人员经费较上年减少。2</w:t>
      </w:r>
      <w:r>
        <w:rPr>
          <w:rFonts w:hint="eastAsia" w:ascii="仿宋_GB2312" w:hAnsi="仿宋_GB2312" w:eastAsia="仿宋_GB2312"/>
          <w:b w:val="0"/>
          <w:sz w:val="32"/>
          <w:lang w:eastAsia="zh-CN"/>
        </w:rPr>
        <w:t>.</w:t>
      </w:r>
      <w:r>
        <w:rPr>
          <w:rFonts w:ascii="仿宋_GB2312" w:hAnsi="仿宋_GB2312" w:eastAsia="仿宋_GB2312"/>
          <w:b w:val="0"/>
          <w:sz w:val="32"/>
        </w:rPr>
        <w:t>本年减少工业等产品质量抽检经费。</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本年收入983.09万元，</w:t>
      </w:r>
      <w:r>
        <w:rPr>
          <w:rFonts w:ascii="仿宋_GB2312" w:hAnsi="仿宋_GB2312" w:eastAsia="仿宋_GB2312"/>
          <w:b w:val="0"/>
          <w:sz w:val="32"/>
        </w:rPr>
        <w:t>其中：财政拨款收入958.09万元，占97.46%；上级补助收入0.00万元，占0.00%；事业收入0.00万元，占0.00%；经营收入0.00万元，占0.00%；附属单位上缴收入0.00万元，占0.00%；其他收入25.00万元，占2.54%。</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本年支出964.23万元，</w:t>
      </w:r>
      <w:r>
        <w:rPr>
          <w:rFonts w:ascii="仿宋_GB2312" w:hAnsi="仿宋_GB2312" w:eastAsia="仿宋_GB2312"/>
          <w:b w:val="0"/>
          <w:sz w:val="32"/>
        </w:rPr>
        <w:t>其中：基本支出898.92万元，占93.23%；项目支出65.31万元，占6.77%；上缴上级支出0.00万元，占0.00%；经营支出0.00万元，占0.00%；对附属单位补助支出0.00万元，占0.00%。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2024年度财政拨款收入总计958.09万元，</w:t>
      </w:r>
      <w:r>
        <w:rPr>
          <w:rFonts w:ascii="仿宋_GB2312" w:hAnsi="仿宋_GB2312" w:eastAsia="仿宋_GB2312"/>
          <w:b w:val="0"/>
          <w:sz w:val="32"/>
        </w:rPr>
        <w:t>其中：年初财政拨款结转和结余0.00万元，本年财政拨款收入958.09万元。</w:t>
      </w:r>
      <w:r>
        <w:rPr>
          <w:rFonts w:ascii="仿宋_GB2312" w:hAnsi="仿宋_GB2312" w:eastAsia="仿宋_GB2312"/>
          <w:b/>
          <w:sz w:val="32"/>
        </w:rPr>
        <w:t>财政拨款支出总计958.09万元，</w:t>
      </w:r>
      <w:r>
        <w:rPr>
          <w:rFonts w:ascii="仿宋_GB2312" w:hAnsi="仿宋_GB2312" w:eastAsia="仿宋_GB2312"/>
          <w:b w:val="0"/>
          <w:sz w:val="32"/>
        </w:rPr>
        <w:t>其中：年末财政拨款结转和结余0.00万元，本年财政拨款支出958.09万元。</w:t>
      </w:r>
    </w:p>
    <w:p>
      <w:pPr>
        <w:keepNext w:val="0"/>
        <w:keepLines w:val="0"/>
        <w:widowControl/>
        <w:suppressLineNumbers w:val="0"/>
        <w:jc w:val="left"/>
      </w:pPr>
      <w:r>
        <w:rPr>
          <w:rFonts w:ascii="仿宋_GB2312" w:hAnsi="仿宋_GB2312" w:eastAsia="仿宋_GB2312"/>
          <w:b/>
          <w:sz w:val="32"/>
        </w:rPr>
        <w:t>财政拨款收入支出总体与上年相比，</w:t>
      </w:r>
      <w:r>
        <w:rPr>
          <w:rFonts w:ascii="仿宋_GB2312" w:hAnsi="仿宋_GB2312" w:eastAsia="仿宋_GB2312"/>
          <w:b w:val="0"/>
          <w:sz w:val="32"/>
        </w:rPr>
        <w:t>减少79.17万元，下降7.63%，主要原因是：1</w:t>
      </w:r>
      <w:r>
        <w:rPr>
          <w:rFonts w:hint="eastAsia" w:ascii="仿宋_GB2312" w:hAnsi="仿宋_GB2312" w:eastAsia="仿宋_GB2312"/>
          <w:b w:val="0"/>
          <w:sz w:val="32"/>
          <w:lang w:eastAsia="zh-CN"/>
        </w:rPr>
        <w:t>.</w:t>
      </w:r>
      <w:r>
        <w:rPr>
          <w:rFonts w:ascii="仿宋_GB2312" w:hAnsi="仿宋_GB2312" w:eastAsia="仿宋_GB2312"/>
          <w:b w:val="0"/>
          <w:sz w:val="32"/>
        </w:rPr>
        <w:t>本年</w:t>
      </w:r>
      <w:r>
        <w:rPr>
          <w:rFonts w:hint="eastAsia" w:ascii="仿宋_GB2312" w:hAnsi="仿宋_GB2312" w:eastAsia="仿宋_GB2312"/>
          <w:b w:val="0"/>
          <w:sz w:val="32"/>
          <w:lang w:eastAsia="zh-CN"/>
        </w:rPr>
        <w:t>4名在职人员转退休，</w:t>
      </w:r>
      <w:r>
        <w:rPr>
          <w:rFonts w:ascii="仿宋_GB2312" w:hAnsi="仿宋_GB2312" w:eastAsia="仿宋_GB2312"/>
          <w:b w:val="0"/>
          <w:sz w:val="32"/>
        </w:rPr>
        <w:t>相关人员经费较上年减少。2</w:t>
      </w:r>
      <w:r>
        <w:rPr>
          <w:rFonts w:hint="eastAsia" w:ascii="仿宋_GB2312" w:hAnsi="仿宋_GB2312" w:eastAsia="仿宋_GB2312"/>
          <w:b w:val="0"/>
          <w:sz w:val="32"/>
          <w:lang w:eastAsia="zh-CN"/>
        </w:rPr>
        <w:t>.</w:t>
      </w:r>
      <w:r>
        <w:rPr>
          <w:rFonts w:ascii="仿宋_GB2312" w:hAnsi="仿宋_GB2312" w:eastAsia="仿宋_GB2312"/>
          <w:b w:val="0"/>
          <w:sz w:val="32"/>
        </w:rPr>
        <w:t>本年减少工业等产品质量抽检经费。</w:t>
      </w:r>
      <w:r>
        <w:rPr>
          <w:rFonts w:ascii="仿宋_GB2312" w:hAnsi="仿宋_GB2312" w:eastAsia="仿宋_GB2312"/>
          <w:b/>
          <w:sz w:val="32"/>
        </w:rPr>
        <w:t>与年初预算相比，</w:t>
      </w:r>
      <w:r>
        <w:rPr>
          <w:rFonts w:ascii="仿宋_GB2312" w:hAnsi="仿宋_GB2312" w:eastAsia="仿宋_GB2312"/>
          <w:b w:val="0"/>
          <w:sz w:val="32"/>
        </w:rPr>
        <w:t>年初预算数1,153.82万元，决算数958.09万元，预决算差异率-16.96%，主要原因是：</w:t>
      </w:r>
      <w:r>
        <w:rPr>
          <w:rFonts w:hint="eastAsia" w:ascii="仿宋_GB2312" w:hAnsi="仿宋_GB2312" w:eastAsia="仿宋_GB2312"/>
          <w:b w:val="0"/>
          <w:sz w:val="32"/>
          <w:lang w:val="en-US" w:eastAsia="zh-CN"/>
        </w:rPr>
        <w:t>年中调减</w:t>
      </w:r>
      <w:r>
        <w:rPr>
          <w:rFonts w:ascii="仿宋_GB2312" w:hAnsi="仿宋_GB2312" w:eastAsia="仿宋_GB2312"/>
          <w:b w:val="0"/>
          <w:sz w:val="32"/>
          <w:lang w:val="en-US" w:eastAsia="zh-CN"/>
        </w:rPr>
        <w:t>从业人员健康证体检经费</w:t>
      </w:r>
      <w:r>
        <w:rPr>
          <w:rFonts w:hint="eastAsia" w:ascii="仿宋_GB2312" w:hAnsi="仿宋_GB2312" w:eastAsia="仿宋_GB2312"/>
          <w:b w:val="0"/>
          <w:sz w:val="32"/>
          <w:lang w:val="en-US" w:eastAsia="zh-CN"/>
        </w:rPr>
        <w:t>、</w:t>
      </w:r>
      <w:r>
        <w:rPr>
          <w:rFonts w:ascii="仿宋_GB2312" w:hAnsi="仿宋_GB2312" w:eastAsia="仿宋_GB2312"/>
          <w:b w:val="0"/>
          <w:sz w:val="32"/>
          <w:lang w:val="en-US" w:eastAsia="zh-CN"/>
        </w:rPr>
        <w:t>食用农产品抽检经费</w:t>
      </w:r>
      <w:r>
        <w:rPr>
          <w:rFonts w:hint="eastAsia" w:ascii="仿宋_GB2312" w:hAnsi="仿宋_GB2312" w:eastAsia="仿宋_GB2312"/>
          <w:b w:val="0"/>
          <w:sz w:val="32"/>
          <w:lang w:val="en-US" w:eastAsia="zh-CN"/>
        </w:rPr>
        <w:t>，导致预决算存在差异</w:t>
      </w:r>
      <w:r>
        <w:rPr>
          <w:rFonts w:ascii="仿宋_GB2312" w:hAnsi="仿宋_GB2312" w:eastAsia="仿宋_GB2312"/>
          <w:b w:val="0"/>
          <w:sz w:val="32"/>
        </w:rPr>
        <w:t>。</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2024年度一般公共预算财政拨款支出958.09万元，</w:t>
      </w:r>
      <w:r>
        <w:rPr>
          <w:rFonts w:ascii="仿宋_GB2312" w:hAnsi="仿宋_GB2312" w:eastAsia="仿宋_GB2312"/>
          <w:b w:val="0"/>
          <w:sz w:val="32"/>
        </w:rPr>
        <w:t>占本年支出合计的99.36%。</w:t>
      </w:r>
      <w:r>
        <w:rPr>
          <w:rFonts w:ascii="仿宋_GB2312" w:hAnsi="仿宋_GB2312" w:eastAsia="仿宋_GB2312"/>
          <w:b/>
          <w:sz w:val="32"/>
        </w:rPr>
        <w:t>与上年相比，</w:t>
      </w:r>
      <w:r>
        <w:rPr>
          <w:rFonts w:ascii="仿宋_GB2312" w:hAnsi="仿宋_GB2312" w:eastAsia="仿宋_GB2312"/>
          <w:b w:val="0"/>
          <w:sz w:val="32"/>
        </w:rPr>
        <w:t>减少79.17万元，下降7.63%，主要原因是：1</w:t>
      </w:r>
      <w:r>
        <w:rPr>
          <w:rFonts w:hint="eastAsia" w:ascii="仿宋_GB2312" w:hAnsi="仿宋_GB2312" w:eastAsia="仿宋_GB2312"/>
          <w:b w:val="0"/>
          <w:sz w:val="32"/>
          <w:lang w:eastAsia="zh-CN"/>
        </w:rPr>
        <w:t>.</w:t>
      </w:r>
      <w:r>
        <w:rPr>
          <w:rFonts w:ascii="仿宋_GB2312" w:hAnsi="仿宋_GB2312" w:eastAsia="仿宋_GB2312"/>
          <w:b w:val="0"/>
          <w:sz w:val="32"/>
        </w:rPr>
        <w:t>本年</w:t>
      </w:r>
      <w:r>
        <w:rPr>
          <w:rFonts w:hint="eastAsia" w:ascii="仿宋_GB2312" w:hAnsi="仿宋_GB2312" w:eastAsia="仿宋_GB2312"/>
          <w:b w:val="0"/>
          <w:sz w:val="32"/>
          <w:lang w:eastAsia="zh-CN"/>
        </w:rPr>
        <w:t>4名在职人员转退休，</w:t>
      </w:r>
      <w:r>
        <w:rPr>
          <w:rFonts w:ascii="仿宋_GB2312" w:hAnsi="仿宋_GB2312" w:eastAsia="仿宋_GB2312"/>
          <w:b w:val="0"/>
          <w:sz w:val="32"/>
        </w:rPr>
        <w:t>相关人员经费较上年减少。2</w:t>
      </w:r>
      <w:r>
        <w:rPr>
          <w:rFonts w:hint="eastAsia" w:ascii="仿宋_GB2312" w:hAnsi="仿宋_GB2312" w:eastAsia="仿宋_GB2312"/>
          <w:b w:val="0"/>
          <w:sz w:val="32"/>
          <w:lang w:eastAsia="zh-CN"/>
        </w:rPr>
        <w:t>.</w:t>
      </w:r>
      <w:r>
        <w:rPr>
          <w:rFonts w:ascii="仿宋_GB2312" w:hAnsi="仿宋_GB2312" w:eastAsia="仿宋_GB2312"/>
          <w:b w:val="0"/>
          <w:sz w:val="32"/>
        </w:rPr>
        <w:t>本年减少工业等产品质量抽检经费。</w:t>
      </w:r>
      <w:r>
        <w:rPr>
          <w:rFonts w:ascii="仿宋_GB2312" w:hAnsi="仿宋_GB2312" w:eastAsia="仿宋_GB2312"/>
          <w:b/>
          <w:sz w:val="32"/>
        </w:rPr>
        <w:t>与年初预算相比,</w:t>
      </w:r>
      <w:r>
        <w:rPr>
          <w:rFonts w:ascii="仿宋_GB2312" w:hAnsi="仿宋_GB2312" w:eastAsia="仿宋_GB2312"/>
          <w:b w:val="0"/>
          <w:sz w:val="32"/>
        </w:rPr>
        <w:t>年初预算数1,153.82万元，决算数958.09万元，预决算差异率-16.96%，主要原因是：</w:t>
      </w:r>
      <w:r>
        <w:rPr>
          <w:rFonts w:hint="eastAsia" w:ascii="仿宋_GB2312" w:hAnsi="仿宋_GB2312" w:eastAsia="仿宋_GB2312"/>
          <w:b w:val="0"/>
          <w:sz w:val="32"/>
          <w:lang w:val="en-US" w:eastAsia="zh-CN"/>
        </w:rPr>
        <w:t>年中调减</w:t>
      </w:r>
      <w:r>
        <w:rPr>
          <w:rFonts w:ascii="仿宋_GB2312" w:hAnsi="仿宋_GB2312" w:eastAsia="仿宋_GB2312"/>
          <w:b w:val="0"/>
          <w:sz w:val="32"/>
          <w:lang w:val="en-US" w:eastAsia="zh-CN"/>
        </w:rPr>
        <w:t>从业人员健康证体检经费</w:t>
      </w:r>
      <w:r>
        <w:rPr>
          <w:rFonts w:hint="eastAsia" w:ascii="仿宋_GB2312" w:hAnsi="仿宋_GB2312" w:eastAsia="仿宋_GB2312"/>
          <w:b w:val="0"/>
          <w:sz w:val="32"/>
          <w:lang w:val="en-US" w:eastAsia="zh-CN"/>
        </w:rPr>
        <w:t>、</w:t>
      </w:r>
      <w:r>
        <w:rPr>
          <w:rFonts w:ascii="仿宋_GB2312" w:hAnsi="仿宋_GB2312" w:eastAsia="仿宋_GB2312"/>
          <w:b w:val="0"/>
          <w:sz w:val="32"/>
          <w:lang w:val="en-US" w:eastAsia="zh-CN"/>
        </w:rPr>
        <w:t>食用农产品抽检经费</w:t>
      </w:r>
      <w:r>
        <w:rPr>
          <w:rFonts w:hint="eastAsia" w:ascii="仿宋_GB2312" w:hAnsi="仿宋_GB2312" w:eastAsia="仿宋_GB2312"/>
          <w:b w:val="0"/>
          <w:sz w:val="32"/>
          <w:lang w:val="en-US" w:eastAsia="zh-CN"/>
        </w:rPr>
        <w:t>，导致预决算存在差异</w:t>
      </w:r>
      <w:r>
        <w:rPr>
          <w:rFonts w:ascii="仿宋_GB2312" w:hAnsi="仿宋_GB2312" w:eastAsia="仿宋_GB2312"/>
          <w:b w:val="0"/>
          <w:sz w:val="32"/>
        </w:rPr>
        <w:t>。</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1.一般公共服务支出(类)677.38万元,占70.70%。</w:t>
      </w:r>
    </w:p>
    <w:p>
      <w:pPr>
        <w:spacing w:line="580" w:lineRule="exact"/>
        <w:ind w:firstLine="640"/>
        <w:jc w:val="both"/>
      </w:pPr>
      <w:r>
        <w:rPr>
          <w:rFonts w:ascii="仿宋_GB2312" w:hAnsi="仿宋_GB2312" w:eastAsia="仿宋_GB2312"/>
          <w:b w:val="0"/>
          <w:sz w:val="32"/>
        </w:rPr>
        <w:t>2.社会保障和就业支出(类)190.52万元,占19.89%。</w:t>
      </w:r>
    </w:p>
    <w:p>
      <w:pPr>
        <w:spacing w:line="580" w:lineRule="exact"/>
        <w:ind w:firstLine="640"/>
        <w:jc w:val="both"/>
      </w:pPr>
      <w:r>
        <w:rPr>
          <w:rFonts w:ascii="仿宋_GB2312" w:hAnsi="仿宋_GB2312" w:eastAsia="仿宋_GB2312"/>
          <w:b w:val="0"/>
          <w:sz w:val="32"/>
        </w:rPr>
        <w:t>3.卫生健康支出(类)28.57万元,占2.98%。</w:t>
      </w:r>
    </w:p>
    <w:p>
      <w:pPr>
        <w:spacing w:line="580" w:lineRule="exact"/>
        <w:ind w:firstLine="640"/>
        <w:jc w:val="both"/>
      </w:pPr>
      <w:r>
        <w:rPr>
          <w:rFonts w:ascii="仿宋_GB2312" w:hAnsi="仿宋_GB2312" w:eastAsia="仿宋_GB2312"/>
          <w:b w:val="0"/>
          <w:sz w:val="32"/>
        </w:rPr>
        <w:t>4.住房保障支出(类)61.62万元,占6.43%。</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1.一般公共服务支出(类)组织事务(款)其他组织事务支出(项):支出决算数为12.83万元，比上年决算增加1.23万元，增长10.60%,主要原因是：本年为民办实事工作经费增加。</w:t>
      </w:r>
    </w:p>
    <w:p>
      <w:pPr>
        <w:spacing w:line="580" w:lineRule="exact"/>
        <w:ind w:firstLine="640"/>
        <w:jc w:val="both"/>
      </w:pPr>
      <w:r>
        <w:rPr>
          <w:rFonts w:ascii="仿宋_GB2312" w:hAnsi="仿宋_GB2312" w:eastAsia="仿宋_GB2312"/>
          <w:b w:val="0"/>
          <w:sz w:val="32"/>
        </w:rPr>
        <w:t>2.一般公共服务支出(类)市场监督管理事务(款)行政运行(项):支出决算数为548.03万元，比上年决算减少14.17万元，下降2.52%,主要原因是：本年在职人员转退休，相应人员经费较上年减少。</w:t>
      </w:r>
    </w:p>
    <w:p>
      <w:pPr>
        <w:spacing w:line="580" w:lineRule="exact"/>
        <w:ind w:firstLine="640"/>
        <w:jc w:val="both"/>
      </w:pPr>
      <w:r>
        <w:rPr>
          <w:rFonts w:ascii="仿宋_GB2312" w:hAnsi="仿宋_GB2312" w:eastAsia="仿宋_GB2312"/>
          <w:b w:val="0"/>
          <w:sz w:val="32"/>
        </w:rPr>
        <w:t>3.一般公共服务支出(类)市场监督管理事务(款)药品事务(项):支出决算数为7.00万元，比上年决算增加4.70万元，增长204.35%,主要原因是：本年增加自治区药品抽检经费。</w:t>
      </w:r>
    </w:p>
    <w:p>
      <w:pPr>
        <w:spacing w:line="580" w:lineRule="exact"/>
        <w:ind w:firstLine="640"/>
        <w:jc w:val="both"/>
      </w:pPr>
      <w:r>
        <w:rPr>
          <w:rFonts w:ascii="仿宋_GB2312" w:hAnsi="仿宋_GB2312" w:eastAsia="仿宋_GB2312"/>
          <w:b w:val="0"/>
          <w:sz w:val="32"/>
        </w:rPr>
        <w:t>4.一般公共服务支出(类)市场监督管理事务(款)食品安全监管(项):支出决算数为0.00万元，比上年决算减少12.00万元，下降100.00%,主要原因是：本年减少中央食品药品监管补助资金项目。</w:t>
      </w:r>
    </w:p>
    <w:p>
      <w:pPr>
        <w:spacing w:line="580" w:lineRule="exact"/>
        <w:ind w:firstLine="640"/>
        <w:jc w:val="both"/>
      </w:pPr>
      <w:r>
        <w:rPr>
          <w:rFonts w:ascii="仿宋_GB2312" w:hAnsi="仿宋_GB2312" w:eastAsia="仿宋_GB2312"/>
          <w:b w:val="0"/>
          <w:sz w:val="32"/>
        </w:rPr>
        <w:t>5.一般公共服务支出(类)市场监督管理事务(款)事业运行(项):支出决算数为70.18万元，比上年决算减少21.24万元，下降23.23%,主要原因是：本年在职人员转退休，相应人员经费较上年减少。</w:t>
      </w:r>
    </w:p>
    <w:p>
      <w:pPr>
        <w:spacing w:line="580" w:lineRule="exact"/>
        <w:ind w:firstLine="640"/>
        <w:jc w:val="both"/>
      </w:pPr>
      <w:r>
        <w:rPr>
          <w:rFonts w:ascii="仿宋_GB2312" w:hAnsi="仿宋_GB2312" w:eastAsia="仿宋_GB2312"/>
          <w:b w:val="0"/>
          <w:sz w:val="32"/>
        </w:rPr>
        <w:t>6.一般公共服务支出(类)市场监督管理事务(款)其他市场监督管理事务(项):支出决算数为39.34万元，比上年决算减少37.20万元，下降48.60%,主要原因是：本年减少工业等产品质量抽检经费。</w:t>
      </w:r>
    </w:p>
    <w:p>
      <w:pPr>
        <w:spacing w:line="580" w:lineRule="exact"/>
        <w:ind w:firstLine="640"/>
        <w:jc w:val="both"/>
      </w:pPr>
      <w:r>
        <w:rPr>
          <w:rFonts w:ascii="仿宋_GB2312" w:hAnsi="仿宋_GB2312" w:eastAsia="仿宋_GB2312"/>
          <w:b w:val="0"/>
          <w:sz w:val="32"/>
        </w:rPr>
        <w:t>7.社会保障和就业支出(类)行政事业单位养老支出(款)行政单位离退休(项):支出决算数为61.86万元，比上年决算增加6.19万元，增长11.12%,主要原因是：本年退休人员增加，退休费支出增加。</w:t>
      </w:r>
    </w:p>
    <w:p>
      <w:pPr>
        <w:spacing w:line="580" w:lineRule="exact"/>
        <w:ind w:firstLine="640"/>
        <w:jc w:val="both"/>
      </w:pPr>
      <w:r>
        <w:rPr>
          <w:rFonts w:ascii="仿宋_GB2312" w:hAnsi="仿宋_GB2312" w:eastAsia="仿宋_GB2312"/>
          <w:b w:val="0"/>
          <w:sz w:val="32"/>
        </w:rPr>
        <w:t>8.社会保障和就业支出(类)行政事业单位养老支出(款)事业单位离退休(项):支出决算数为0.86万元，比上年决算增加0.86万元，增长100.00%,主要原因是：本年退休人员增加，退休费支出增加。</w:t>
      </w:r>
    </w:p>
    <w:p>
      <w:pPr>
        <w:spacing w:line="580" w:lineRule="exact"/>
        <w:ind w:firstLine="640"/>
        <w:jc w:val="both"/>
      </w:pPr>
      <w:r>
        <w:rPr>
          <w:rFonts w:ascii="仿宋_GB2312" w:hAnsi="仿宋_GB2312" w:eastAsia="仿宋_GB2312"/>
          <w:b w:val="0"/>
          <w:sz w:val="32"/>
        </w:rPr>
        <w:t>9.社会保障和就业支出(类)行政事业单位养老支出(款)机关事业单位基本养老保险缴费支出(项):支出决算数为76.41万元，比上年决算增加3.75万元，增长5.16%,主要原因是：</w:t>
      </w:r>
      <w:r>
        <w:rPr>
          <w:rFonts w:hint="eastAsia" w:ascii="仿宋_GB2312" w:hAnsi="仿宋_GB2312" w:eastAsia="仿宋_GB2312"/>
          <w:b w:val="0"/>
          <w:sz w:val="32"/>
        </w:rPr>
        <w:t>本年在职人员工资基数调增，养老缴费基数上涨，相应支出增加</w:t>
      </w:r>
      <w:r>
        <w:rPr>
          <w:rFonts w:ascii="仿宋_GB2312" w:hAnsi="仿宋_GB2312" w:eastAsia="仿宋_GB2312"/>
          <w:b w:val="0"/>
          <w:sz w:val="32"/>
        </w:rPr>
        <w:t>。</w:t>
      </w:r>
    </w:p>
    <w:p>
      <w:pPr>
        <w:spacing w:line="580" w:lineRule="exact"/>
        <w:ind w:firstLine="640"/>
        <w:jc w:val="both"/>
      </w:pPr>
      <w:r>
        <w:rPr>
          <w:rFonts w:ascii="仿宋_GB2312" w:hAnsi="仿宋_GB2312" w:eastAsia="仿宋_GB2312"/>
          <w:b w:val="0"/>
          <w:sz w:val="32"/>
        </w:rPr>
        <w:t>10.社会保障和就业支出(类)行政事业单位养老支出(款)机关事业单位职业年金缴费支出(项):支出决算数为51.39万元，比上年决算增加9.60万元，增长22.97%,主要原因是：本年新增退休人员，职业年金缴费支出增加。</w:t>
      </w:r>
    </w:p>
    <w:p>
      <w:pPr>
        <w:spacing w:line="580" w:lineRule="exact"/>
        <w:ind w:firstLine="640"/>
        <w:jc w:val="both"/>
      </w:pPr>
      <w:r>
        <w:rPr>
          <w:rFonts w:ascii="仿宋_GB2312" w:hAnsi="仿宋_GB2312" w:eastAsia="仿宋_GB2312"/>
          <w:b w:val="0"/>
          <w:sz w:val="32"/>
        </w:rPr>
        <w:t>11.社会保障和就业支出(类)抚恤(款)</w:t>
      </w:r>
      <w:r>
        <w:rPr>
          <w:rFonts w:hint="eastAsia" w:ascii="仿宋_GB2312" w:hAnsi="仿宋_GB2312" w:eastAsia="仿宋_GB2312"/>
          <w:b w:val="0"/>
          <w:sz w:val="32"/>
          <w:lang w:val="en-US" w:eastAsia="zh-CN"/>
        </w:rPr>
        <w:t>死亡</w:t>
      </w:r>
      <w:r>
        <w:rPr>
          <w:rFonts w:ascii="仿宋_GB2312" w:hAnsi="仿宋_GB2312" w:eastAsia="仿宋_GB2312"/>
          <w:b w:val="0"/>
          <w:sz w:val="32"/>
        </w:rPr>
        <w:t>抚恤(项):支出决算数为0.00万元，比上年决算减少20.29万元，下降100.00%,主要原因是：本年无新增</w:t>
      </w:r>
      <w:r>
        <w:rPr>
          <w:rFonts w:hint="eastAsia" w:ascii="仿宋_GB2312" w:hAnsi="仿宋_GB2312" w:eastAsia="仿宋_GB2312"/>
          <w:b w:val="0"/>
          <w:sz w:val="32"/>
          <w:lang w:val="en-US" w:eastAsia="zh-CN"/>
        </w:rPr>
        <w:t>死亡</w:t>
      </w:r>
      <w:r>
        <w:rPr>
          <w:rFonts w:ascii="仿宋_GB2312" w:hAnsi="仿宋_GB2312" w:eastAsia="仿宋_GB2312"/>
          <w:b w:val="0"/>
          <w:sz w:val="32"/>
        </w:rPr>
        <w:t>人员，</w:t>
      </w:r>
      <w:r>
        <w:rPr>
          <w:rFonts w:hint="eastAsia" w:ascii="仿宋_GB2312" w:hAnsi="仿宋_GB2312" w:eastAsia="仿宋_GB2312"/>
          <w:b w:val="0"/>
          <w:sz w:val="32"/>
          <w:lang w:val="en-US" w:eastAsia="zh-CN"/>
        </w:rPr>
        <w:t>死亡</w:t>
      </w:r>
      <w:bookmarkStart w:id="0" w:name="_GoBack"/>
      <w:bookmarkEnd w:id="0"/>
      <w:r>
        <w:rPr>
          <w:rFonts w:ascii="仿宋_GB2312" w:hAnsi="仿宋_GB2312" w:eastAsia="仿宋_GB2312"/>
          <w:b w:val="0"/>
          <w:sz w:val="32"/>
        </w:rPr>
        <w:t>抚恤支出较上年减少。</w:t>
      </w:r>
    </w:p>
    <w:p>
      <w:pPr>
        <w:spacing w:line="580" w:lineRule="exact"/>
        <w:ind w:firstLine="640"/>
        <w:jc w:val="both"/>
        <w:rPr>
          <w:rFonts w:ascii="仿宋_GB2312" w:hAnsi="仿宋_GB2312" w:eastAsia="仿宋_GB2312"/>
          <w:b w:val="0"/>
          <w:sz w:val="32"/>
        </w:rPr>
      </w:pPr>
      <w:r>
        <w:rPr>
          <w:rFonts w:ascii="仿宋_GB2312" w:hAnsi="仿宋_GB2312" w:eastAsia="仿宋_GB2312"/>
          <w:b w:val="0"/>
          <w:sz w:val="32"/>
        </w:rPr>
        <w:t>12.卫生健康支出(类)行政事业单位医疗(款)行政单位医疗(项):支出决算数为25.47万元，比上年决算减少0.20万元，下降0.78%,主要原因是：本年在职人员转退休，行政单位医疗支出较上年减少。</w:t>
      </w:r>
    </w:p>
    <w:p>
      <w:pPr>
        <w:spacing w:line="580" w:lineRule="exact"/>
        <w:ind w:firstLine="640"/>
        <w:jc w:val="both"/>
        <w:rPr>
          <w:rFonts w:ascii="仿宋_GB2312" w:hAnsi="仿宋_GB2312" w:eastAsia="仿宋_GB2312"/>
          <w:b w:val="0"/>
          <w:sz w:val="32"/>
        </w:rPr>
      </w:pPr>
      <w:r>
        <w:rPr>
          <w:rFonts w:ascii="仿宋_GB2312" w:hAnsi="仿宋_GB2312" w:eastAsia="仿宋_GB2312"/>
          <w:b w:val="0"/>
          <w:sz w:val="32"/>
        </w:rPr>
        <w:t>13.卫生健康支出(类)行政事业单位医疗(款)事业单位医疗(项):支出决算数为3.09万元，比上年决算减少0.17万元，下降5.21%,主要原因是：本年在职人员转退休，事业单位医疗支出较上年减少。</w:t>
      </w:r>
    </w:p>
    <w:p>
      <w:pPr>
        <w:spacing w:line="580" w:lineRule="exact"/>
        <w:ind w:firstLine="640"/>
        <w:jc w:val="both"/>
      </w:pPr>
      <w:r>
        <w:rPr>
          <w:rFonts w:ascii="仿宋_GB2312" w:hAnsi="仿宋_GB2312" w:eastAsia="仿宋_GB2312"/>
          <w:b w:val="0"/>
          <w:sz w:val="32"/>
        </w:rPr>
        <w:t>14.住房保障支出(类)住房改革支出(款)住房公积金(项):支出决算数为61.62万元，比上年决算减少0.24万元，下降0.39%,主要原因是：本年在职人员转退休，住房公积金缴费较上年减少。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2024年度一般公共预算财政拨款基本支出898.92万元，其中：</w:t>
      </w:r>
      <w:r>
        <w:rPr>
          <w:rFonts w:ascii="仿宋_GB2312" w:hAnsi="仿宋_GB2312" w:eastAsia="仿宋_GB2312"/>
          <w:b/>
          <w:sz w:val="32"/>
        </w:rPr>
        <w:t>人员经费880.33万元，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包括：基本工资、津贴补贴、奖金、机关事业单位基本养老保险缴费、职业年金缴费、职工基本医疗保险缴费、其他社会保障缴费、住房公积金、退休费、生活补助。</w:t>
      </w:r>
    </w:p>
    <w:p>
      <w:pPr>
        <w:spacing w:line="580" w:lineRule="exact"/>
        <w:ind w:firstLine="640"/>
        <w:jc w:val="both"/>
      </w:pPr>
      <w:r>
        <w:rPr>
          <w:rFonts w:ascii="仿宋_GB2312" w:hAnsi="仿宋_GB2312" w:eastAsia="仿宋_GB2312"/>
          <w:b/>
          <w:sz w:val="32"/>
        </w:rPr>
        <w:t>公用经费18.60万元，</w:t>
      </w:r>
      <w:r>
        <w:rPr>
          <w:rFonts w:ascii="仿宋_GB2312" w:hAnsi="仿宋_GB2312" w:eastAsia="仿宋_GB2312"/>
          <w:b w:val="0"/>
          <w:sz w:val="32"/>
        </w:rPr>
        <w:t>包括：办公费、印刷费、水费、电费、邮电费、取暖费、差旅费、公务用车运行维护费。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2024年度财政拨款“三公”经费支出7.21万元，</w:t>
      </w:r>
      <w:r>
        <w:rPr>
          <w:rFonts w:ascii="仿宋_GB2312" w:hAnsi="仿宋_GB2312" w:eastAsia="仿宋_GB2312"/>
          <w:b w:val="0"/>
          <w:sz w:val="32"/>
        </w:rPr>
        <w:t>比上年减少2.25万元，下降23.78%，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7.21万元，占100.00%，比上年减少2.25万元，下降23.78%，主要原因是：严格落实中央八项规定精神，厉行节约，减少公务用车运行维护费。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7.21万元，其中：公务用车购置费0.00万元，公务用车运行维护费7.21万元。公务用车运行维护费开支内容包括车辆加油费、维修费、过路费。公务用车购置数0辆，公务用车保有量10辆。国有资产占用情况中固定资产车辆10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7.21万元，决算数7.21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7.21万元，决算数7.21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市场监督管理局（行政单位和参照公务员法管理事业单位）机关运行经费支出18.60万元，比上年减少1.53万元，下降7.60%，主要原因是：严格控制机关运行经费，合理节约办公用品，减少不必要开支。</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2024年度政府采购支出总额163.54万元，其中：政府采购货物支出46.40万元、政府采购工程支出38.49万元、政府采购服务支出78.64万元。</w:t>
      </w:r>
    </w:p>
    <w:p>
      <w:pPr>
        <w:spacing w:line="580" w:lineRule="exact"/>
        <w:ind w:firstLine="640"/>
        <w:jc w:val="both"/>
      </w:pPr>
      <w:r>
        <w:rPr>
          <w:rFonts w:ascii="仿宋_GB2312" w:hAnsi="仿宋_GB2312" w:eastAsia="仿宋_GB2312"/>
          <w:b w:val="0"/>
          <w:sz w:val="32"/>
        </w:rPr>
        <w:t>授予中小企业合同金额160.60万元，占政府采购支出总额的98.20%，其中：授予小微企业合同金额160.31万元，占政府采购支出总额的98.02%。</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7,165.74平方米，价值594.35万元。车辆10辆，价值183.12万元，其中：副部（省）级及以上领导用车0辆、主要负责人用车0辆、机要通信用车0辆、应急保障用车0辆、执法执勤用车7辆、特种专业技术用车0辆、离退休干部服务用车0辆、其他用车3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1,295.85万元，实际执行总额964.23万元；预算绩效评价项目8个，全年预算数331.05万元，全年执行数46.35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w:t>
      </w:r>
      <w:r>
        <w:rPr>
          <w:rFonts w:hint="eastAsia" w:ascii="仿宋_GB2312" w:hAnsi="仿宋_GB2312" w:eastAsia="仿宋_GB2312"/>
          <w:b w:val="0"/>
          <w:sz w:val="32"/>
          <w:lang w:eastAsia="zh-CN"/>
        </w:rPr>
        <w:t>地</w:t>
      </w:r>
      <w:r>
        <w:rPr>
          <w:rFonts w:ascii="仿宋_GB2312" w:hAnsi="仿宋_GB2312" w:eastAsia="仿宋_GB2312"/>
          <w:b w:val="0"/>
          <w:sz w:val="32"/>
        </w:rPr>
        <w:t>理解和认识。通过实施预算绩效管理，树立了绩效优先的管理理念，提升了部门管理水平和资金使用效益，为全面实施绩效管理打下了坚实的基础。发现的问题及原因：一是存在的问题财政绩效管理有待提高。相关绩效管理方面专业知识的系统性学习有待加强。二是原因分析按照财政支出绩效管理的要求，建立科学的财政资金效益考评制度体系，不断完善绩效评价的评价体系及工作流程，提高财政资金使用管理的水平和效率。对预算绩效管理、绩效理念尚未真正贯穿于实践工作，相关工作人员经验不足，绩效管理</w:t>
      </w:r>
      <w:r>
        <w:rPr>
          <w:rFonts w:hint="eastAsia" w:ascii="仿宋_GB2312" w:hAnsi="仿宋_GB2312" w:eastAsia="仿宋_GB2312"/>
          <w:b w:val="0"/>
          <w:sz w:val="32"/>
          <w:lang w:eastAsia="zh-CN"/>
        </w:rPr>
        <w:t>意识不强</w:t>
      </w:r>
      <w:r>
        <w:rPr>
          <w:rFonts w:ascii="仿宋_GB2312" w:hAnsi="仿宋_GB2312" w:eastAsia="仿宋_GB2312"/>
          <w:b w:val="0"/>
          <w:sz w:val="32"/>
        </w:rPr>
        <w:t>，对于指标的编制还不够完善。评价工作还存在自我审定的局限性，影响评价质量。下一步改进措施：一是加强绩效评价管理制度和流程的建设，进一步深化、完善绩效管理体系，建立全过程的预算绩效管理机制，促进绩效管理工作向广度和深度延伸。二是规范绩效评价管理资料的收集整理，确保相关信息完整、可靠，客观公正地反映项目资金实际使用和产生的绩效状况，为今后该项目实施方向及管理方式的改进提供指导。具体附整体支出绩效自评表，项目支出绩效自评表和评价报告。</w:t>
      </w:r>
    </w:p>
    <w:p>
      <w:r>
        <w:br w:type="page"/>
      </w:r>
    </w:p>
    <w:tbl>
      <w:tblPr>
        <w:tblStyle w:val="10"/>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阿图什市市场监督管理局</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1,128.45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1,295.85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964.23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74.41%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eastAsia="宋体"/>
                <w:sz w:val="16"/>
              </w:rPr>
              <w:t>7.44</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19.83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19.83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1,128.45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1,276.02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944.40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单位基本职能：1.负责市场综合监督管理和知识产权管理；2.负责市场主体统一登记注册；3.负责组织指导市场监管和知识产权综合执法工作；4.负责反垄断统一执法；5.负责监督管理市场秩序；</w:t>
            </w:r>
            <w:r>
              <w:rPr>
                <w:rFonts w:hint="eastAsia" w:ascii="宋体" w:hAnsi="宋体"/>
                <w:sz w:val="16"/>
                <w:lang w:val="en-US" w:eastAsia="zh-CN"/>
              </w:rPr>
              <w:t>6</w:t>
            </w:r>
            <w:r>
              <w:rPr>
                <w:rFonts w:ascii="宋体" w:hAnsi="宋体" w:eastAsia="宋体"/>
                <w:sz w:val="16"/>
              </w:rPr>
              <w:t>.负责特种设备安全监督管理；</w:t>
            </w:r>
            <w:r>
              <w:rPr>
                <w:rFonts w:hint="eastAsia" w:ascii="宋体" w:hAnsi="宋体"/>
                <w:sz w:val="16"/>
                <w:lang w:val="en-US" w:eastAsia="zh-CN"/>
              </w:rPr>
              <w:t>7</w:t>
            </w:r>
            <w:r>
              <w:rPr>
                <w:rFonts w:ascii="宋体" w:hAnsi="宋体" w:eastAsia="宋体"/>
                <w:sz w:val="16"/>
              </w:rPr>
              <w:t>.负责食品安全监督管理。</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机构设置及人员配置：无下属预算单位，下设10个科室，编制数48，实有人数88人，在职44人，退休44人。</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中长期规划：进一步推进企业开办，推进部门联合抽查，推进消费者满意度提升，抓好食品安全、药品安全、特种设备安全监督。</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  保障单位在职44人，退休44人的工资福利及各项补助正常发放及部门正常运转；保障单位预算项目按计划实施，便于开展食品安全、药品安全、特种设备安全，有效提高执法人员业务水平及市场四大安全，使全市居民买的放心、吃的放心、用的放心。</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单位共计支出964.23万元，用于保障部门在职44人，退休44人的工资福利、各项补助正常发放及部门单位正常运转，单位预算项目根据年初计划均已完成，保障单位预算项目按计划实施，便于开展食品安全、药品安全、特种设备安全，有效提高执法人员业务水平及市场四大安全，使全市居民买的放心、吃的放心、用的放心，年度任务中完成食用农产品抽检批次737批次，工业产品抽检批次4批次等目标。</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抽检覆盖率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抽检产品合格率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食用农产品抽检批次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&gt;=805批次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737批次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16.48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工业产品抽检批次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&gt;=8批次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4批次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抽检不合格食品、问题产品核查处理及时率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2023年度自治区药品抽检经费项目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阿图什市市场监督管理局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根据《关于拨付2023年度自治区药品抽检经费的通知》克财行</w:t>
            </w:r>
            <w:r>
              <w:rPr>
                <w:rFonts w:hint="eastAsia" w:ascii="宋体" w:hAnsi="宋体"/>
                <w:sz w:val="16"/>
                <w:lang w:eastAsia="zh-CN"/>
              </w:rPr>
              <w:t>〔2023〕43号</w:t>
            </w:r>
            <w:r>
              <w:rPr>
                <w:rFonts w:ascii="宋体" w:hAnsi="宋体" w:eastAsia="宋体"/>
                <w:sz w:val="16"/>
              </w:rPr>
              <w:t xml:space="preserve">文件，计划安排7万元，用于药品生产流通环节（含医院制剂）抽检5批次，中药饮片生产流通环节抽检5批次，医疗器械监督抽样任务2批次，药品评价性抽样19批次；通过实施本项目，有效发挥抽检工作的风险防控和技术支撑作用，努力提高监管能力和监管水平，以“四个最严”的要求，保障药品安全。 </w:t>
            </w:r>
            <w:r>
              <w:rPr>
                <w:rFonts w:ascii="宋体" w:hAnsi="宋体" w:eastAsia="宋体"/>
                <w:sz w:val="16"/>
              </w:rPr>
              <w:br w:type="textWrapping"/>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共计支出7万元，用于药品生产流通环节（含医院制剂）抽检5批次，中药饮片生产流通环节抽检5批次，医疗器械监督抽样任务2批次，药品评价性抽样19批次；通过实施本项目，有效发挥抽检工作的风险防控和技术支撑作用，努力提高监管能力和监管水平，以“四个最严”的要求，保障药品安全。 </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药品生产流通环节（含医院制剂）抽检批次</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中药饮片生产流通环节抽检批次</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医疗器械监督抽样任务</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药品评价性抽样批次</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&gt;=19批次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“两品一械”抽检覆盖率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抽样任务按时完成率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项目按计划完成时间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药品抽样、抽检经费控制率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提升“两品一械”监管服务</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减少假冒伪劣“两品一械”制售行为</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公众对药品安全的满意度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56" w:type="dxa"/>
        <w:tblInd w:w="0" w:type="dxa"/>
        <w:tblLayout w:type="fixed"/>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从业人员健康证体检经费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阿图什市市场监督管理局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107.67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107.67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107.67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107.67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根据《财政部 国家发展改革委关于清理规范一批行政事业性收费有关政策的通知》（财税</w:t>
            </w:r>
            <w:r>
              <w:rPr>
                <w:rFonts w:hint="eastAsia" w:ascii="宋体" w:hAnsi="宋体"/>
                <w:sz w:val="16"/>
                <w:lang w:eastAsia="zh-CN"/>
              </w:rPr>
              <w:t>〔2017〕20号</w:t>
            </w:r>
            <w:r>
              <w:rPr>
                <w:rFonts w:ascii="宋体" w:hAnsi="宋体" w:eastAsia="宋体"/>
                <w:sz w:val="16"/>
              </w:rPr>
              <w:t>），安排项目资金107.67万元，用于2024年新申请、换新预估从业人员体检1.5万人/次，体检费71.78元/人，费用预计为1.5万人/次*71.78元/人=107.67万元。通过项目的实施做好市场监督管理工作，做好食品安全工作，保护群众饮食安全；</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本项目已完成2024年新申请、换新预估从业人员体检1.21万人/次，因相关体检印证资料未上报，资金未拨付；通过实施本项目，有效推进市场监督管理工作和食品安全工作，保护群众饮食安全；</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从业人员体检</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&gt;=1.50万人/次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=1.21万人/次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原因：年初计划不够精准，实际参加体检人数低于年初目标任务，导致指标存在偏差；措施：今后做好计划，确保如期完成年度任务，减少偏差。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组织体检覆盖率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原因：因相关体检印证资料未上报，资金未拨付，预算执行率未达预期目标；措施：今后做好预算支出计划，提高预算执行率，减少偏差。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从业人员体检成本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&lt;=71.78元/人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=71.78元/人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原因：因相关体检印证资料未上报，资金未拨付，预算执行率未达预期目标；措施：今后做好预算支出计划，提高预算执行率，减少偏差。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提高食品安全质量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体检人员满意度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55.18分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76"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4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四个市场监管所维修经费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阿图什市市场监督管理局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21.88</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21.88</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根据《关于加强县市派驻市场监管所有关事宜通知》（克党编办</w:t>
            </w:r>
            <w:r>
              <w:rPr>
                <w:rFonts w:hint="eastAsia" w:ascii="宋体" w:hAnsi="宋体"/>
                <w:sz w:val="16"/>
                <w:lang w:eastAsia="zh-CN"/>
              </w:rPr>
              <w:t>〔</w:t>
            </w:r>
            <w:r>
              <w:rPr>
                <w:rFonts w:ascii="宋体" w:hAnsi="宋体" w:eastAsia="宋体"/>
                <w:sz w:val="16"/>
              </w:rPr>
              <w:t>2023</w:t>
            </w:r>
            <w:r>
              <w:rPr>
                <w:rFonts w:hint="eastAsia" w:ascii="宋体" w:hAnsi="宋体"/>
                <w:sz w:val="16"/>
                <w:lang w:eastAsia="zh-CN"/>
              </w:rPr>
              <w:t>〕</w:t>
            </w:r>
            <w:r>
              <w:rPr>
                <w:rFonts w:ascii="宋体" w:hAnsi="宋体" w:eastAsia="宋体"/>
                <w:sz w:val="16"/>
              </w:rPr>
              <w:t>31号）文件，安排项目资金，用于采购维修和保养服务1次；通过项目的实施，达到提升办公效率，</w:t>
            </w:r>
            <w:r>
              <w:rPr>
                <w:rFonts w:hint="eastAsia" w:ascii="宋体" w:hAnsi="宋体"/>
                <w:sz w:val="16"/>
                <w:lang w:eastAsia="zh-CN"/>
              </w:rPr>
              <w:t>更好地</w:t>
            </w:r>
            <w:r>
              <w:rPr>
                <w:rFonts w:ascii="宋体" w:hAnsi="宋体" w:eastAsia="宋体"/>
                <w:sz w:val="16"/>
              </w:rPr>
              <w:t>服务人民群众效果。</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本项目共计支出21.88万元，用于采购维修和保养服务1次；通过项目的实施，提升办公效率，更好地服务人民群众。</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采购维修和保养服务次数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设备维修质量合格率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原因：根据实际产生的费用进行支出，年初预算支出计划不够精准；措施：今后做好预算支出工作，提高预算执行率，减少偏差。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项目成本控制率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原因：根据实际产生的费用进行支出，年初预算支出计划不够精准；措施：今后做好预算支出工作，提高预算执行率，减少偏差。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提高业务服务水平</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56" w:type="dxa"/>
        <w:tblInd w:w="0" w:type="dxa"/>
        <w:tblLayout w:type="fixed"/>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四个监管所办公物资采购经费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阿图什市市场监督管理局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4.79</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4.79</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根据《关于加强县市派驻市场监管所有关事宜通知》（克党编办</w:t>
            </w:r>
            <w:r>
              <w:rPr>
                <w:rFonts w:hint="eastAsia" w:ascii="宋体" w:hAnsi="宋体"/>
                <w:sz w:val="16"/>
                <w:lang w:eastAsia="zh-CN"/>
              </w:rPr>
              <w:t>〔</w:t>
            </w:r>
            <w:r>
              <w:rPr>
                <w:rFonts w:ascii="宋体" w:hAnsi="宋体" w:eastAsia="宋体"/>
                <w:sz w:val="16"/>
              </w:rPr>
              <w:t>2023</w:t>
            </w:r>
            <w:r>
              <w:rPr>
                <w:rFonts w:hint="eastAsia" w:ascii="宋体" w:hAnsi="宋体"/>
                <w:sz w:val="16"/>
                <w:lang w:eastAsia="zh-CN"/>
              </w:rPr>
              <w:t>〕</w:t>
            </w:r>
            <w:r>
              <w:rPr>
                <w:rFonts w:ascii="宋体" w:hAnsi="宋体" w:eastAsia="宋体"/>
                <w:sz w:val="16"/>
              </w:rPr>
              <w:t>31号）文件，安排项目资金30万元，用于采购办公桌椅、大会议桌、沙发数量38套，采购一体机、监控设备数量12台（套），采购档案柜数量20个，采购录音笔、执法记录仪数量13个，采购专网（营业执照）4个，其他办公耗材、保养服务次数20次；通过项目的实施达到提升办公效率，更好</w:t>
            </w:r>
            <w:r>
              <w:rPr>
                <w:rFonts w:hint="eastAsia" w:ascii="宋体" w:hAnsi="宋体"/>
                <w:sz w:val="16"/>
                <w:lang w:eastAsia="zh-CN"/>
              </w:rPr>
              <w:t>地</w:t>
            </w:r>
            <w:r>
              <w:rPr>
                <w:rFonts w:ascii="宋体" w:hAnsi="宋体" w:eastAsia="宋体"/>
                <w:sz w:val="16"/>
              </w:rPr>
              <w:t>服务人民群众效果。</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4.79万元，用于采购办公桌椅、大会议桌、沙发数量38套，采购一体机、监控设备数量12台（套），采购档案柜数量5个，采购录音笔、执法记录仪数量11个，采购专网（营业执照）4个，其他办公耗材、保养服务次数20次；通过项目的实施，提升办公效率，更好地服务人民群众。</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采购办公桌椅、大会议桌、沙发数量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&gt;=38套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采购一体机、监控设备数量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&gt;=12台（套）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=12台（套）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采购档案柜数量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原因：根据实际审批通过情况来采购，指标未完成，存在偏差；措施：今后做好计划，确保项目按计划完成，减少偏差。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采购录音笔、执法记录仪数量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采购（营业执照）</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其他办公耗材、保养服务次数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采购设备验收合格率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采购专网使用合格率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采购办公桌椅、大会议桌、沙发成本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原因：因资金短缺，相关资金暂未拨付，计划2025年度解决；措施：今后做好预算支出计划，提高预算执行率，减少偏差。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采购一体机、监控设备成本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原因：因资金短缺，相关资金暂未拨付，计划2025年度解决；措施：今后做好预算支出计划，提高预算执行率，减少偏差。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采购档案柜成本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原因：因资金短缺，相关资金暂未拨付，计划2025年度解决；措施：今后做好预算支出计划，提高预算执行率，减少偏差。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采购录音笔、执法记录仪成本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原因：因资金短缺，相关资金暂未拨付，计划2025年度解决；措施：今后做好预算支出计划，提高预算执行率，减少偏差。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采购（营业执照）成本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其他办公耗材、保养服务成本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原因：根据实际审批通过部分支付，剩余资金未拨付，指标未完成；措施：今后做好预算支出计划，提高预算执行率，减少偏差。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提高业务服务水平</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工业产品、食品、药品检验及相关业务经费项目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阿图什市市场监督管理局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9.98分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市场监督管理局党组会议纪要》，安排项目资金9万元，2024年度计划进行工业产品食品药品抽检不少于45次，工业产品、食品、药品抽检覆盖率达到95%以上，提升市场工业产品食品药、品安全，保障人民群众身体健康。</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本项目共计支出8.99万元，用于进行工业产品食品药品抽检39次，工业产品、食品、药品抽检覆盖率达到95%以上，提升市场工业产品食品药、品安全，保障人民群众身体健康。</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工业产品、食品、药品抽检次数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原因：年初计划不够精准，实际按照上级单位下达任务完成，因此指标未完成；措施：今后做好计划，确保项目按计划实施，减少偏差。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检查合格率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工业产品抽检覆盖率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年度检查任务按时完成率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工业产品、食品、药品抽检成本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&lt;=2000元/次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原因：根据实际所需资金进行拨付，剩余部分结余退回国库；措施：今后做好预算编制工作，减少偏差，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ascii="宋体" w:hAnsi="宋体" w:eastAsia="宋体"/>
                <w:sz w:val="16"/>
              </w:rPr>
            </w:pPr>
            <w:r>
              <w:rPr>
                <w:rFonts w:ascii="宋体" w:hAnsi="宋体" w:eastAsia="宋体"/>
                <w:sz w:val="16"/>
              </w:rPr>
              <w:t>保障工业产品</w:t>
            </w:r>
          </w:p>
          <w:p>
            <w:pPr>
              <w:jc w:val="center"/>
              <w:rPr>
                <w:rFonts w:hint="eastAsia" w:ascii="宋体" w:hAnsi="宋体" w:eastAsia="宋体"/>
                <w:sz w:val="16"/>
                <w:lang w:val="en-US" w:eastAsia="zh-CN"/>
              </w:rPr>
            </w:pPr>
            <w:r>
              <w:rPr>
                <w:rFonts w:hint="eastAsia" w:ascii="宋体" w:hAnsi="宋体"/>
                <w:sz w:val="16"/>
                <w:lang w:val="en-US" w:eastAsia="zh-CN"/>
              </w:rPr>
              <w:t>ZLAQ</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送检人员满意度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97.27分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60" w:type="dxa"/>
        <w:tblInd w:w="0" w:type="dxa"/>
        <w:tblLayout w:type="fixed"/>
        <w:tblCellMar>
          <w:top w:w="0" w:type="dxa"/>
          <w:left w:w="108" w:type="dxa"/>
          <w:bottom w:w="0" w:type="dxa"/>
          <w:right w:w="108" w:type="dxa"/>
        </w:tblCellMar>
      </w:tblPr>
      <w:tblGrid>
        <w:gridCol w:w="629"/>
        <w:gridCol w:w="623"/>
        <w:gridCol w:w="623"/>
        <w:gridCol w:w="629"/>
        <w:gridCol w:w="936"/>
        <w:gridCol w:w="623"/>
        <w:gridCol w:w="623"/>
        <w:gridCol w:w="626"/>
        <w:gridCol w:w="623"/>
        <w:gridCol w:w="623"/>
        <w:gridCol w:w="631"/>
        <w:gridCol w:w="631"/>
        <w:gridCol w:w="610"/>
        <w:gridCol w:w="630"/>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1"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综合行政执法制式服装和标识经费</w:t>
            </w:r>
          </w:p>
        </w:tc>
      </w:tr>
      <w:tr>
        <w:tblPrEx>
          <w:tblLayout w:type="fixed"/>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68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阿图什市市场监督管理局</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2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阿图什市市场监督管理局</w:t>
            </w:r>
          </w:p>
        </w:tc>
      </w:tr>
      <w:tr>
        <w:tblPrEx>
          <w:tblLayout w:type="fixed"/>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56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56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20.38</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20.38</w:t>
            </w: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56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20.38</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20.38</w:t>
            </w: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56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68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4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68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根据《关于加强县市派驻市场监管所有关事宜通知》（克党编办</w:t>
            </w:r>
            <w:r>
              <w:rPr>
                <w:rFonts w:hint="eastAsia" w:ascii="宋体" w:hAnsi="宋体"/>
                <w:sz w:val="16"/>
                <w:lang w:eastAsia="zh-CN"/>
              </w:rPr>
              <w:t>〔</w:t>
            </w:r>
            <w:r>
              <w:rPr>
                <w:rFonts w:ascii="宋体" w:hAnsi="宋体" w:eastAsia="宋体"/>
                <w:sz w:val="16"/>
              </w:rPr>
              <w:t>2023</w:t>
            </w:r>
            <w:r>
              <w:rPr>
                <w:rFonts w:hint="eastAsia" w:ascii="宋体" w:hAnsi="宋体"/>
                <w:sz w:val="16"/>
                <w:lang w:eastAsia="zh-CN"/>
              </w:rPr>
              <w:t>〕</w:t>
            </w:r>
            <w:r>
              <w:rPr>
                <w:rFonts w:ascii="宋体" w:hAnsi="宋体" w:eastAsia="宋体"/>
                <w:sz w:val="16"/>
              </w:rPr>
              <w:t>31号）文件要求，安排项目资金20.38万元，项目资金用于为新成立的4个市场监督所成员采购制服数量21套，工作人员人数21人；通过项目的实施达到统一市场监管部门制式服装和标志管理工作，确保制式服装和标志式样、颜色等统一，树立市场监管执法形象效果。</w:t>
            </w:r>
          </w:p>
        </w:tc>
        <w:tc>
          <w:tcPr>
            <w:tcW w:w="374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本项目已完成采购制服数量17套，因支出材料不够完整，资金未拨付，通过项目的实施，达到统一市场监管部门制式服装和标志管理工作，确保制式服装和标志式样、颜色等统一，树立市场监管执法形象效果。</w:t>
            </w:r>
          </w:p>
        </w:tc>
      </w:tr>
      <w:tr>
        <w:tblPrEx>
          <w:tblLayout w:type="fixed"/>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tcP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购买工作服数量</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&gt;=21套</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=17套</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5.24</w:t>
            </w:r>
          </w:p>
        </w:tc>
        <w:tc>
          <w:tcPr>
            <w:tcW w:w="12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原因：根据人员调入情况完成，因此剩余部分未购买，指标未完成；措施：今后做好年初计划，确保项目按计划完成，减少偏差。</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原因：项目相关支出材料不够完整，资金未拨付；措施：今后做好预算支出工作，提高预算执行率，减少偏差。</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工作服验收合格率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项目完工时间</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购买工作服成本</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&lt;=4761.90元/套</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=0元/套</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原因：项目相关支出材料不够完整，资金未拨付；措施：今后做好预算支出工作，提高预算执行率，减少偏差。</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支付2022年购买工作服尾款</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&lt;=10.38万元</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原因：上报审批未通过，从欠款化解计划内解决，因此未拨付；措施：今后做好预算支出工作，提高预算执行率，减少偏差。</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有效提高业务服务水平</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有效提高业务服务水平</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有效提高业务服务水平</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68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77"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55.24分</w:t>
            </w:r>
          </w:p>
        </w:tc>
        <w:tc>
          <w:tcPr>
            <w:tcW w:w="1240"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食品安全城市创建经费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阿图什市市场监督管理局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做好第一批自治区食品安全城市复审和第二批自治区食品安全城市评价验收准备工作的通知新食安办函〔2023〕8号）文件》，安排项目资金8万元，主要用于采购其他印刷服务次数15批次，采购广告宣传服务次数5批次，采购计算机设备维修和保养服务次数2批次，采购办公用品及日常耗材数量10批次；通过项目的实施，提高居民食品安全意识，保障创建食品安全城市工作正常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本项目共计支出3.69万元，用于采购其他印刷服务次数10批次，采购广告宣传服务次数5批次；通过项目的实施，提高居民食品安全意识，保障创建食品安全城市工作正常开展。</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采购其他印刷服务次数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原因：根据实际需求购买，年初计划不够精准，指标未完成；措施：今后做好项目实施计划，提高工作质量，减少偏差。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采购广告宣传服务次数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原因：根据实际需求购买，年初计划不够精准，指标未完成；措施：今后做好项目实施计划，提高工作质量，减少偏差。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采购计算机设备维修和保养服务次数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原因：根据基层减负工作需要暂缓执行；措施：今后做好项目实施计划，提高工作质量，减少偏差。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采购办公用品及日常耗材数量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原因：根据基层减负工作需要暂缓执行；措施：今后做好项目实施计划，提高工作质量，减少偏差。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采购印刷、广告服务成本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原因：根据项目实际采购资金需求拨付相关资金，剩余资金未支出，指标未完成。</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采购设备维修、办公用品及耗材成本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原因：根据基层减负工作需要暂缓执行；措施：今后做好项目实施计划，提高工作质量，减少偏差。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提高居民食品安全意识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食用农产品抽检经费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阿图什市市场监督管理局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根据《自治区市场监督管理局关于印发2023年全系统食品安全抽检监测计划的通知（新市监食检</w:t>
            </w:r>
            <w:r>
              <w:rPr>
                <w:rFonts w:hint="eastAsia" w:ascii="宋体" w:hAnsi="宋体"/>
                <w:sz w:val="16"/>
                <w:lang w:eastAsia="zh-CN"/>
              </w:rPr>
              <w:t>〔2023〕35号</w:t>
            </w:r>
            <w:r>
              <w:rPr>
                <w:rFonts w:ascii="宋体" w:hAnsi="宋体" w:eastAsia="宋体"/>
                <w:sz w:val="16"/>
              </w:rPr>
              <w:t>）文件</w:t>
            </w:r>
            <w:r>
              <w:rPr>
                <w:rFonts w:hint="eastAsia" w:ascii="宋体" w:hAnsi="宋体"/>
                <w:sz w:val="16"/>
                <w:lang w:eastAsia="zh-CN"/>
              </w:rPr>
              <w:t>》《</w:t>
            </w:r>
            <w:r>
              <w:rPr>
                <w:rFonts w:ascii="宋体" w:hAnsi="宋体" w:eastAsia="宋体"/>
                <w:sz w:val="16"/>
              </w:rPr>
              <w:t>阿图什市市场监督管理局党组会议纪要（阿市监党组纪字</w:t>
            </w:r>
            <w:r>
              <w:rPr>
                <w:rFonts w:hint="eastAsia" w:ascii="宋体" w:hAnsi="宋体"/>
                <w:sz w:val="16"/>
                <w:lang w:eastAsia="zh-CN"/>
              </w:rPr>
              <w:t>〔</w:t>
            </w:r>
            <w:r>
              <w:rPr>
                <w:rFonts w:ascii="宋体" w:hAnsi="宋体" w:eastAsia="宋体"/>
                <w:sz w:val="16"/>
              </w:rPr>
              <w:t>2023</w:t>
            </w:r>
            <w:r>
              <w:rPr>
                <w:rFonts w:hint="eastAsia" w:ascii="宋体" w:hAnsi="宋体"/>
                <w:sz w:val="16"/>
                <w:lang w:eastAsia="zh-CN"/>
              </w:rPr>
              <w:t>〕</w:t>
            </w:r>
            <w:r>
              <w:rPr>
                <w:rFonts w:ascii="宋体" w:hAnsi="宋体" w:eastAsia="宋体"/>
                <w:sz w:val="16"/>
              </w:rPr>
              <w:t xml:space="preserve">23号）》，安排项目资金111万元，聘请第三方抽检机构数量1家，抽检食用农产品种类7种，食用农产品抽检批次1500批次，食用农产品抽检覆盖率达到98%以上，促进食用农产品市场健康发展。 </w:t>
            </w:r>
            <w:r>
              <w:rPr>
                <w:rFonts w:ascii="宋体" w:hAnsi="宋体" w:eastAsia="宋体"/>
                <w:sz w:val="16"/>
              </w:rPr>
              <w:br w:type="textWrapping"/>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已完成聘请第三方抽检机构数量1家，抽检食用农产品种类7种，食用农产品抽检批次1432批次，食用农产品抽检覆盖率达到98%以上，因项目支出资料不完善，资金未拨付；通过实施本项目，促进食用农产品市场健康发展。 </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聘请第三方抽检机构数量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抽检食用农产品种类</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食用农产品抽检批次</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&gt;=1500批次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=1432批次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原因：根据自治区抽检方案要求批次完成，指标未完成，存在偏差；措施：今后合理安排计划，提高工作质量，减少偏差。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食用农产品抽检覆盖率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食用农产品抽检成本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&lt;=740元/批次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=0元/批次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原因：因项目支出审批资料待完善，未拨付；措施：今后做好预算支出计划，提高预算执行率，减少偏差。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促进食用农产品市场健康发展</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C44BF3C-14CE-491B-B0E7-9D0EC57C8724}"/>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0C9F22A0-4D44-4DEB-80E0-EB6B3DAC3AB0}"/>
  </w:font>
  <w:font w:name="方正小标宋_GBK">
    <w:panose1 w:val="03000509000000000000"/>
    <w:charset w:val="86"/>
    <w:family w:val="script"/>
    <w:pitch w:val="default"/>
    <w:sig w:usb0="00000001" w:usb1="080E0000" w:usb2="00000000" w:usb3="00000000" w:csb0="00040000" w:csb1="00000000"/>
    <w:embedRegular r:id="rId3" w:fontKey="{E2816CCE-5A77-4B17-AF22-84E987488E02}"/>
  </w:font>
  <w:font w:name="楷体_GB2312">
    <w:panose1 w:val="02010609030101010101"/>
    <w:charset w:val="86"/>
    <w:family w:val="auto"/>
    <w:pitch w:val="default"/>
    <w:sig w:usb0="00000001" w:usb1="080E0000" w:usb2="00000000" w:usb3="00000000" w:csb0="00040000" w:csb1="00000000"/>
    <w:embedRegular r:id="rId4" w:fontKey="{0BCC1B5D-25AB-440B-8EF3-8CAE799B40C6}"/>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EA0DF1"/>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7F64DA1"/>
    <w:rsid w:val="38006E2C"/>
    <w:rsid w:val="3914510A"/>
    <w:rsid w:val="3B1220C9"/>
    <w:rsid w:val="3BFD5B0F"/>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0F5C4E"/>
    <w:rsid w:val="50DB5F45"/>
    <w:rsid w:val="52F92565"/>
    <w:rsid w:val="543D17CB"/>
    <w:rsid w:val="55DA564E"/>
    <w:rsid w:val="56E07045"/>
    <w:rsid w:val="583059FA"/>
    <w:rsid w:val="587E6212"/>
    <w:rsid w:val="5AFC6609"/>
    <w:rsid w:val="5CC26E3C"/>
    <w:rsid w:val="5D2F3B9E"/>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6D3091E"/>
    <w:rsid w:val="77ED6F44"/>
    <w:rsid w:val="795A0A34"/>
    <w:rsid w:val="7A0D3BC7"/>
    <w:rsid w:val="7A3A3CDB"/>
    <w:rsid w:val="7C6407B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40</Pages>
  <Words>5335</Words>
  <Characters>6139</Characters>
  <Lines>0</Lines>
  <Paragraphs>0</Paragraphs>
  <TotalTime>7</TotalTime>
  <ScaleCrop>false</ScaleCrop>
  <LinksUpToDate>false</LinksUpToDate>
  <CharactersWithSpaces>6147</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2025-09-19T10:55:18Z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