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EC1AD7">
      <w:r>
        <w:br w:type="page"/>
      </w:r>
    </w:p>
    <w:p w14:paraId="067791C7">
      <w:pPr>
        <w:spacing w:line="640" w:lineRule="exact"/>
        <w:jc w:val="center"/>
        <w:outlineLvl w:val="1"/>
      </w:pPr>
      <w:r>
        <w:rPr>
          <w:rFonts w:ascii="黑体" w:hAnsi="黑体" w:eastAsia="黑体"/>
          <w:sz w:val="32"/>
        </w:rPr>
        <w:t>第一部分 单位概况</w:t>
      </w:r>
    </w:p>
    <w:p w14:paraId="51E9A777">
      <w:pPr>
        <w:spacing w:line="640" w:lineRule="exact"/>
        <w:ind w:firstLine="640"/>
        <w:jc w:val="both"/>
        <w:outlineLvl w:val="2"/>
      </w:pPr>
      <w:r>
        <w:rPr>
          <w:rFonts w:ascii="黑体" w:hAnsi="黑体" w:eastAsia="黑体"/>
          <w:sz w:val="32"/>
        </w:rPr>
        <w:t>一、主要职能</w:t>
      </w:r>
    </w:p>
    <w:p w14:paraId="7799764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维护职工群众的合法利益和民主权利。</w:t>
      </w:r>
    </w:p>
    <w:p w14:paraId="5EA6F54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动员和组织广大职工群众积极参加改革和建设</w:t>
      </w:r>
      <w:r>
        <w:rPr>
          <w:rFonts w:hint="eastAsia" w:ascii="仿宋_GB2312" w:hAnsi="仿宋_GB2312" w:eastAsia="仿宋_GB2312"/>
          <w:sz w:val="32"/>
          <w:lang w:eastAsia="zh-CN"/>
        </w:rPr>
        <w:t>，</w:t>
      </w:r>
      <w:r>
        <w:rPr>
          <w:rFonts w:ascii="仿宋_GB2312" w:hAnsi="仿宋_GB2312" w:eastAsia="仿宋_GB2312"/>
          <w:sz w:val="32"/>
        </w:rPr>
        <w:t>努力完成经济和社会发展任务。</w:t>
      </w:r>
    </w:p>
    <w:p w14:paraId="3BF831D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工会代表和组织职工参与国家和社会事务管理</w:t>
      </w:r>
      <w:r>
        <w:rPr>
          <w:rFonts w:hint="eastAsia" w:ascii="仿宋_GB2312" w:hAnsi="仿宋_GB2312" w:eastAsia="仿宋_GB2312"/>
          <w:sz w:val="32"/>
          <w:lang w:eastAsia="zh-CN"/>
        </w:rPr>
        <w:t>，</w:t>
      </w:r>
      <w:r>
        <w:rPr>
          <w:rFonts w:ascii="仿宋_GB2312" w:hAnsi="仿宋_GB2312" w:eastAsia="仿宋_GB2312"/>
          <w:sz w:val="32"/>
        </w:rPr>
        <w:t>参与企业、事业和机关的民主管理。</w:t>
      </w:r>
    </w:p>
    <w:p w14:paraId="17CE20E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教育职工不断提高思想道德素质和科学文化素质</w:t>
      </w:r>
      <w:r>
        <w:rPr>
          <w:rFonts w:hint="eastAsia" w:ascii="仿宋_GB2312" w:hAnsi="仿宋_GB2312" w:eastAsia="仿宋_GB2312"/>
          <w:sz w:val="32"/>
          <w:lang w:eastAsia="zh-CN"/>
        </w:rPr>
        <w:t>，</w:t>
      </w:r>
      <w:r>
        <w:rPr>
          <w:rFonts w:ascii="仿宋_GB2312" w:hAnsi="仿宋_GB2312" w:eastAsia="仿宋_GB2312"/>
          <w:sz w:val="32"/>
        </w:rPr>
        <w:t>建设有理想、有道德、有文化、有纪律的职工队伍。</w:t>
      </w:r>
    </w:p>
    <w:p w14:paraId="471876E2">
      <w:pPr>
        <w:spacing w:line="640" w:lineRule="exact"/>
        <w:ind w:firstLine="640"/>
        <w:jc w:val="both"/>
        <w:outlineLvl w:val="2"/>
      </w:pPr>
      <w:r>
        <w:rPr>
          <w:rFonts w:ascii="黑体" w:hAnsi="黑体" w:eastAsia="黑体"/>
          <w:sz w:val="32"/>
        </w:rPr>
        <w:t>二、机构设置及人员情况</w:t>
      </w:r>
    </w:p>
    <w:p w14:paraId="155940EF">
      <w:pPr>
        <w:spacing w:line="580" w:lineRule="exact"/>
        <w:ind w:firstLine="640"/>
        <w:jc w:val="both"/>
      </w:pPr>
      <w:r>
        <w:rPr>
          <w:rFonts w:ascii="仿宋_GB2312" w:hAnsi="仿宋_GB2312" w:eastAsia="仿宋_GB2312"/>
          <w:sz w:val="32"/>
        </w:rPr>
        <w:t>阿图什市总工会2024年度，实有人数19人，其中：在职人员13人，增加0人；离休人员0人，增加0人；退休人员6人</w:t>
      </w:r>
      <w:r>
        <w:rPr>
          <w:rFonts w:hint="eastAsia" w:ascii="仿宋_GB2312" w:hAnsi="仿宋_GB2312" w:eastAsia="仿宋_GB2312"/>
          <w:sz w:val="32"/>
          <w:lang w:eastAsia="zh-CN"/>
        </w:rPr>
        <w:t>，</w:t>
      </w:r>
      <w:r>
        <w:rPr>
          <w:rFonts w:ascii="仿宋_GB2312" w:hAnsi="仿宋_GB2312" w:eastAsia="仿宋_GB2312"/>
          <w:sz w:val="32"/>
        </w:rPr>
        <w:t>增加1人。</w:t>
      </w:r>
    </w:p>
    <w:p w14:paraId="3D73EA3E">
      <w:pPr>
        <w:spacing w:line="580" w:lineRule="exact"/>
        <w:ind w:firstLine="640"/>
        <w:jc w:val="both"/>
      </w:pPr>
      <w:r>
        <w:rPr>
          <w:rFonts w:ascii="仿宋_GB2312" w:hAnsi="仿宋_GB2312" w:eastAsia="仿宋_GB2312"/>
          <w:sz w:val="32"/>
        </w:rPr>
        <w:t>阿图什市总工会无下属预算单位，下设4个科室，分别是：办公室、财务室、帮扶中心、教育工会。</w:t>
      </w:r>
    </w:p>
    <w:p w14:paraId="6C48B8EF">
      <w:r>
        <w:br w:type="page"/>
      </w:r>
    </w:p>
    <w:p w14:paraId="43C52C5F">
      <w:pPr>
        <w:spacing w:line="240" w:lineRule="auto"/>
        <w:jc w:val="center"/>
        <w:outlineLvl w:val="1"/>
      </w:pPr>
      <w:r>
        <w:rPr>
          <w:rFonts w:ascii="黑体" w:hAnsi="黑体" w:eastAsia="黑体"/>
          <w:sz w:val="32"/>
        </w:rPr>
        <w:t>第二部分 部门决算情况说明</w:t>
      </w:r>
    </w:p>
    <w:p w14:paraId="14FEA45E">
      <w:pPr>
        <w:spacing w:line="640" w:lineRule="exact"/>
        <w:ind w:firstLine="640"/>
        <w:jc w:val="both"/>
        <w:outlineLvl w:val="2"/>
      </w:pPr>
      <w:r>
        <w:rPr>
          <w:rFonts w:ascii="黑体" w:hAnsi="黑体" w:eastAsia="黑体"/>
          <w:sz w:val="32"/>
        </w:rPr>
        <w:t>一、收入支出决算总体情况说明</w:t>
      </w:r>
    </w:p>
    <w:p w14:paraId="59B41180">
      <w:pPr>
        <w:spacing w:line="580" w:lineRule="exact"/>
        <w:ind w:firstLine="640"/>
        <w:jc w:val="both"/>
      </w:pPr>
      <w:r>
        <w:rPr>
          <w:rFonts w:ascii="仿宋_GB2312" w:hAnsi="仿宋_GB2312" w:eastAsia="仿宋_GB2312"/>
          <w:b/>
          <w:sz w:val="32"/>
        </w:rPr>
        <w:t>2024年度收入总计232.00万元，</w:t>
      </w:r>
      <w:r>
        <w:rPr>
          <w:rFonts w:ascii="仿宋_GB2312" w:hAnsi="仿宋_GB2312" w:eastAsia="仿宋_GB2312"/>
          <w:b w:val="0"/>
          <w:sz w:val="32"/>
        </w:rPr>
        <w:t>其中：本年收入合计231.96万元，使用非财政拨款结余（含专用结余）0.00万元，年初结转和结余0.03万元。</w:t>
      </w:r>
    </w:p>
    <w:p w14:paraId="10CB114A">
      <w:pPr>
        <w:spacing w:line="580" w:lineRule="exact"/>
        <w:ind w:firstLine="640"/>
        <w:jc w:val="both"/>
      </w:pPr>
      <w:r>
        <w:rPr>
          <w:rFonts w:ascii="仿宋_GB2312" w:hAnsi="仿宋_GB2312" w:eastAsia="仿宋_GB2312"/>
          <w:b/>
          <w:sz w:val="32"/>
        </w:rPr>
        <w:t>2024年度支出总计232.00万元，</w:t>
      </w:r>
      <w:r>
        <w:rPr>
          <w:rFonts w:ascii="仿宋_GB2312" w:hAnsi="仿宋_GB2312" w:eastAsia="仿宋_GB2312"/>
          <w:b w:val="0"/>
          <w:sz w:val="32"/>
        </w:rPr>
        <w:t>其中：本年支出合计231.97万元，结余分配0.00万元，年末结转和结余0.03万元。</w:t>
      </w:r>
    </w:p>
    <w:p w14:paraId="21784C4C">
      <w:pPr>
        <w:spacing w:line="580" w:lineRule="exact"/>
        <w:ind w:firstLine="640"/>
        <w:jc w:val="both"/>
      </w:pPr>
      <w:r>
        <w:rPr>
          <w:rFonts w:ascii="仿宋_GB2312" w:hAnsi="仿宋_GB2312" w:eastAsia="仿宋_GB2312"/>
          <w:b w:val="0"/>
          <w:sz w:val="32"/>
        </w:rPr>
        <w:t>收入支出总体与上年相比，减少11.60万元，下降4.76%，主要原因是：一是</w:t>
      </w:r>
      <w:r>
        <w:rPr>
          <w:rFonts w:hint="eastAsia" w:ascii="仿宋_GB2312" w:hAnsi="仿宋_GB2312" w:eastAsia="仿宋_GB2312"/>
          <w:b w:val="0"/>
          <w:sz w:val="32"/>
        </w:rPr>
        <w:t>本年在职人员调入调出，人员职级不同，缴费基数不同</w:t>
      </w:r>
      <w:r>
        <w:rPr>
          <w:rFonts w:ascii="仿宋_GB2312" w:hAnsi="仿宋_GB2312" w:eastAsia="仿宋_GB2312"/>
          <w:b w:val="0"/>
          <w:sz w:val="32"/>
        </w:rPr>
        <w:t>，因此人员经费减少；二是第一书记为民办事项目经费减少。</w:t>
      </w:r>
    </w:p>
    <w:p w14:paraId="68C08A18">
      <w:pPr>
        <w:spacing w:line="640" w:lineRule="exact"/>
        <w:ind w:firstLine="640"/>
        <w:jc w:val="both"/>
        <w:outlineLvl w:val="2"/>
      </w:pPr>
      <w:r>
        <w:rPr>
          <w:rFonts w:ascii="黑体" w:hAnsi="黑体" w:eastAsia="黑体"/>
          <w:sz w:val="32"/>
        </w:rPr>
        <w:t>二、收入决算情况说明</w:t>
      </w:r>
    </w:p>
    <w:p w14:paraId="1E0D8412">
      <w:pPr>
        <w:spacing w:line="580" w:lineRule="exact"/>
        <w:ind w:firstLine="640"/>
        <w:jc w:val="both"/>
      </w:pPr>
      <w:r>
        <w:rPr>
          <w:rFonts w:ascii="仿宋_GB2312" w:hAnsi="仿宋_GB2312" w:eastAsia="仿宋_GB2312"/>
          <w:b/>
          <w:sz w:val="32"/>
        </w:rPr>
        <w:t>本年收入231.96万元，</w:t>
      </w:r>
      <w:r>
        <w:rPr>
          <w:rFonts w:ascii="仿宋_GB2312" w:hAnsi="仿宋_GB2312" w:eastAsia="仿宋_GB2312"/>
          <w:b w:val="0"/>
          <w:sz w:val="32"/>
        </w:rPr>
        <w:t>其中：财政拨款收入231.96万元，占100.00%；上级补助收入0.00万元，占0.00%；事业收入0.00万元，占0.00%；经营收入0.00万元，占0.00%；附属单位上缴收入0.00万元，占0.00%；其他收入0.00万元，占0.00%。</w:t>
      </w:r>
    </w:p>
    <w:p w14:paraId="231C0211">
      <w:pPr>
        <w:spacing w:line="640" w:lineRule="exact"/>
        <w:ind w:firstLine="640"/>
        <w:jc w:val="both"/>
        <w:outlineLvl w:val="2"/>
      </w:pPr>
      <w:r>
        <w:rPr>
          <w:rFonts w:ascii="黑体" w:hAnsi="黑体" w:eastAsia="黑体"/>
          <w:sz w:val="32"/>
        </w:rPr>
        <w:t>三、支出决算情况说明</w:t>
      </w:r>
    </w:p>
    <w:p w14:paraId="5BC3083A">
      <w:pPr>
        <w:spacing w:line="580" w:lineRule="exact"/>
        <w:ind w:firstLine="640"/>
        <w:jc w:val="both"/>
      </w:pPr>
      <w:r>
        <w:rPr>
          <w:rFonts w:ascii="仿宋_GB2312" w:hAnsi="仿宋_GB2312" w:eastAsia="仿宋_GB2312"/>
          <w:b/>
          <w:sz w:val="32"/>
        </w:rPr>
        <w:t>本年支出231.97万元，</w:t>
      </w:r>
      <w:r>
        <w:rPr>
          <w:rFonts w:ascii="仿宋_GB2312" w:hAnsi="仿宋_GB2312" w:eastAsia="仿宋_GB2312"/>
          <w:b w:val="0"/>
          <w:sz w:val="32"/>
        </w:rPr>
        <w:t>其中：基本支出231.19万元，占99.66%；项目支出0.78万元，占0.34%；上缴上级支出0.00万元，占0.00%；经营支出0.00万元，占0.00%；对附属单位补助支出0.00万元，占0.00%。</w:t>
      </w:r>
    </w:p>
    <w:p w14:paraId="5A4566F4">
      <w:pPr>
        <w:spacing w:line="640" w:lineRule="exact"/>
        <w:ind w:firstLine="640"/>
        <w:jc w:val="both"/>
        <w:outlineLvl w:val="2"/>
      </w:pPr>
      <w:r>
        <w:rPr>
          <w:rFonts w:ascii="黑体" w:hAnsi="黑体" w:eastAsia="黑体"/>
          <w:sz w:val="32"/>
        </w:rPr>
        <w:t>四、财政拨款收入支出决算总体情况说明</w:t>
      </w:r>
    </w:p>
    <w:p w14:paraId="654AB22E">
      <w:pPr>
        <w:spacing w:line="580" w:lineRule="exact"/>
        <w:ind w:firstLine="640"/>
        <w:jc w:val="both"/>
      </w:pPr>
      <w:r>
        <w:rPr>
          <w:rFonts w:ascii="仿宋_GB2312" w:hAnsi="仿宋_GB2312" w:eastAsia="仿宋_GB2312"/>
          <w:b/>
          <w:sz w:val="32"/>
        </w:rPr>
        <w:t>2024年度财政拨款收入总计231.96万元，</w:t>
      </w:r>
      <w:r>
        <w:rPr>
          <w:rFonts w:ascii="仿宋_GB2312" w:hAnsi="仿宋_GB2312" w:eastAsia="仿宋_GB2312"/>
          <w:b w:val="0"/>
          <w:sz w:val="32"/>
        </w:rPr>
        <w:t>其中：年初财政拨款结转和结余0.00万元，本年财政拨款收入231.96万元。</w:t>
      </w:r>
      <w:r>
        <w:rPr>
          <w:rFonts w:ascii="仿宋_GB2312" w:hAnsi="仿宋_GB2312" w:eastAsia="仿宋_GB2312"/>
          <w:b/>
          <w:sz w:val="32"/>
        </w:rPr>
        <w:t>财政拨款支出总计231.96万元，</w:t>
      </w:r>
      <w:r>
        <w:rPr>
          <w:rFonts w:ascii="仿宋_GB2312" w:hAnsi="仿宋_GB2312" w:eastAsia="仿宋_GB2312"/>
          <w:b w:val="0"/>
          <w:sz w:val="32"/>
        </w:rPr>
        <w:t>其中：年末财政拨款结转和结余0.00万元，本年财政拨款支出231.96万元。</w:t>
      </w:r>
    </w:p>
    <w:p w14:paraId="6B5FF36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减少11.55万元，下降4.74%，主要原因是：一是</w:t>
      </w:r>
      <w:r>
        <w:rPr>
          <w:rFonts w:hint="eastAsia" w:ascii="仿宋_GB2312" w:hAnsi="仿宋_GB2312" w:eastAsia="仿宋_GB2312"/>
          <w:b w:val="0"/>
          <w:sz w:val="32"/>
        </w:rPr>
        <w:t>本年在职人员调入调出，人员职级不同，缴费基数不同</w:t>
      </w:r>
      <w:r>
        <w:rPr>
          <w:rFonts w:ascii="仿宋_GB2312" w:hAnsi="仿宋_GB2312" w:eastAsia="仿宋_GB2312"/>
          <w:b w:val="0"/>
          <w:sz w:val="32"/>
        </w:rPr>
        <w:t>，因此人员经费减少；二是第一书记为民办事项目经费减少。</w:t>
      </w:r>
      <w:r>
        <w:rPr>
          <w:rFonts w:ascii="仿宋_GB2312" w:hAnsi="仿宋_GB2312" w:eastAsia="仿宋_GB2312"/>
          <w:b/>
          <w:sz w:val="32"/>
        </w:rPr>
        <w:t>与年初预算相比，</w:t>
      </w:r>
      <w:r>
        <w:rPr>
          <w:rFonts w:ascii="仿宋_GB2312" w:hAnsi="仿宋_GB2312" w:eastAsia="仿宋_GB2312"/>
          <w:b w:val="0"/>
          <w:sz w:val="32"/>
        </w:rPr>
        <w:t>年初预算数246.30万元，决算数231.96万元，预决算差异率-5.82%，主要原因是：一是</w:t>
      </w:r>
      <w:r>
        <w:rPr>
          <w:rFonts w:hint="eastAsia" w:ascii="仿宋_GB2312" w:hAnsi="仿宋_GB2312" w:eastAsia="仿宋_GB2312"/>
          <w:b w:val="0"/>
          <w:sz w:val="32"/>
        </w:rPr>
        <w:t>本年在职人员调入调出，人员职级不同，缴费基数不同</w:t>
      </w:r>
      <w:r>
        <w:rPr>
          <w:rFonts w:ascii="仿宋_GB2312" w:hAnsi="仿宋_GB2312" w:eastAsia="仿宋_GB2312"/>
          <w:b w:val="0"/>
          <w:sz w:val="32"/>
        </w:rPr>
        <w:t>，因此人员经费减少；二是第一书记为民办事项目经费减少，调减相关支出。</w:t>
      </w:r>
    </w:p>
    <w:p w14:paraId="2F5914F0">
      <w:pPr>
        <w:spacing w:line="640" w:lineRule="exact"/>
        <w:ind w:firstLine="640"/>
        <w:jc w:val="both"/>
        <w:outlineLvl w:val="2"/>
      </w:pPr>
      <w:r>
        <w:rPr>
          <w:rFonts w:ascii="黑体" w:hAnsi="黑体" w:eastAsia="黑体"/>
          <w:sz w:val="32"/>
        </w:rPr>
        <w:t>五、一般公共预算财政拨款支出决算情况说明</w:t>
      </w:r>
    </w:p>
    <w:p w14:paraId="5E3D5606">
      <w:pPr>
        <w:spacing w:line="640" w:lineRule="exact"/>
        <w:ind w:firstLine="640"/>
        <w:jc w:val="both"/>
        <w:outlineLvl w:val="3"/>
      </w:pPr>
      <w:r>
        <w:rPr>
          <w:rFonts w:ascii="楷体_GB2312" w:hAnsi="楷体_GB2312" w:eastAsia="楷体_GB2312"/>
          <w:b/>
          <w:sz w:val="32"/>
        </w:rPr>
        <w:t>（一）一般公共预算财政拨款支出决算总体情况</w:t>
      </w:r>
    </w:p>
    <w:p w14:paraId="37A7A5F4">
      <w:pPr>
        <w:spacing w:line="580" w:lineRule="exact"/>
        <w:ind w:firstLine="640"/>
        <w:jc w:val="both"/>
      </w:pPr>
      <w:r>
        <w:rPr>
          <w:rFonts w:ascii="仿宋_GB2312" w:hAnsi="仿宋_GB2312" w:eastAsia="仿宋_GB2312"/>
          <w:b/>
          <w:sz w:val="32"/>
        </w:rPr>
        <w:t>2024年度一般公共预算财政拨款支出231.96万元，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减少11.55万元，下降4.74%，主要原因是：一是</w:t>
      </w:r>
      <w:r>
        <w:rPr>
          <w:rFonts w:hint="eastAsia" w:ascii="仿宋_GB2312" w:hAnsi="仿宋_GB2312" w:eastAsia="仿宋_GB2312"/>
          <w:b w:val="0"/>
          <w:sz w:val="32"/>
        </w:rPr>
        <w:t>本年在职人员调入调出，人员职级不同，缴费基数不同</w:t>
      </w:r>
      <w:r>
        <w:rPr>
          <w:rFonts w:ascii="仿宋_GB2312" w:hAnsi="仿宋_GB2312" w:eastAsia="仿宋_GB2312"/>
          <w:b w:val="0"/>
          <w:sz w:val="32"/>
        </w:rPr>
        <w:t>，因此人员经费减少；二是第一书记为民办事项目经费减少。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年初预算数246.30万元，决算数231.96万元，预决算差异率-5.82%，主要原因是：一是</w:t>
      </w:r>
      <w:r>
        <w:rPr>
          <w:rFonts w:hint="eastAsia" w:ascii="仿宋_GB2312" w:hAnsi="仿宋_GB2312" w:eastAsia="仿宋_GB2312"/>
          <w:b w:val="0"/>
          <w:sz w:val="32"/>
        </w:rPr>
        <w:t>本年在职人员调入调出，人员职级不同，缴费基数不同</w:t>
      </w:r>
      <w:r>
        <w:rPr>
          <w:rFonts w:ascii="仿宋_GB2312" w:hAnsi="仿宋_GB2312" w:eastAsia="仿宋_GB2312"/>
          <w:b w:val="0"/>
          <w:sz w:val="32"/>
        </w:rPr>
        <w:t>，因此人员经费减少；二是第一书记为民办事项目经费减少，调减相关支出。</w:t>
      </w:r>
    </w:p>
    <w:p w14:paraId="32BAB25A">
      <w:pPr>
        <w:spacing w:line="640" w:lineRule="exact"/>
        <w:ind w:firstLine="640"/>
        <w:jc w:val="both"/>
        <w:outlineLvl w:val="3"/>
      </w:pPr>
      <w:r>
        <w:rPr>
          <w:rFonts w:ascii="楷体_GB2312" w:hAnsi="楷体_GB2312" w:eastAsia="楷体_GB2312"/>
          <w:b/>
          <w:sz w:val="32"/>
        </w:rPr>
        <w:t>（二）一般公共预算财政拨款支出决算结构情况</w:t>
      </w:r>
    </w:p>
    <w:p w14:paraId="46154161">
      <w:pPr>
        <w:spacing w:line="580" w:lineRule="exact"/>
        <w:ind w:firstLine="640"/>
        <w:jc w:val="both"/>
      </w:pPr>
      <w:r>
        <w:rPr>
          <w:rFonts w:ascii="仿宋_GB2312" w:hAnsi="仿宋_GB2312" w:eastAsia="仿宋_GB2312"/>
          <w:b w:val="0"/>
          <w:sz w:val="32"/>
        </w:rPr>
        <w:t>1.一般公共服务支出(类)169.31万元</w:t>
      </w:r>
      <w:r>
        <w:rPr>
          <w:rFonts w:hint="eastAsia" w:ascii="仿宋_GB2312" w:hAnsi="仿宋_GB2312" w:eastAsia="仿宋_GB2312"/>
          <w:b w:val="0"/>
          <w:sz w:val="32"/>
          <w:lang w:eastAsia="zh-CN"/>
        </w:rPr>
        <w:t>，</w:t>
      </w:r>
      <w:r>
        <w:rPr>
          <w:rFonts w:ascii="仿宋_GB2312" w:hAnsi="仿宋_GB2312" w:eastAsia="仿宋_GB2312"/>
          <w:b w:val="0"/>
          <w:sz w:val="32"/>
        </w:rPr>
        <w:t>占72.99%。</w:t>
      </w:r>
    </w:p>
    <w:p w14:paraId="159D14C7">
      <w:pPr>
        <w:spacing w:line="580" w:lineRule="exact"/>
        <w:ind w:firstLine="640"/>
        <w:jc w:val="both"/>
      </w:pPr>
      <w:r>
        <w:rPr>
          <w:rFonts w:ascii="仿宋_GB2312" w:hAnsi="仿宋_GB2312" w:eastAsia="仿宋_GB2312"/>
          <w:b w:val="0"/>
          <w:sz w:val="32"/>
        </w:rPr>
        <w:t>2.社会保障和就业支出(类)37.09万元</w:t>
      </w:r>
      <w:r>
        <w:rPr>
          <w:rFonts w:hint="eastAsia" w:ascii="仿宋_GB2312" w:hAnsi="仿宋_GB2312" w:eastAsia="仿宋_GB2312"/>
          <w:b w:val="0"/>
          <w:sz w:val="32"/>
          <w:lang w:eastAsia="zh-CN"/>
        </w:rPr>
        <w:t>，</w:t>
      </w:r>
      <w:r>
        <w:rPr>
          <w:rFonts w:ascii="仿宋_GB2312" w:hAnsi="仿宋_GB2312" w:eastAsia="仿宋_GB2312"/>
          <w:b w:val="0"/>
          <w:sz w:val="32"/>
        </w:rPr>
        <w:t>占15.99%。</w:t>
      </w:r>
    </w:p>
    <w:p w14:paraId="7D07FFA4">
      <w:pPr>
        <w:spacing w:line="580" w:lineRule="exact"/>
        <w:ind w:firstLine="640"/>
        <w:jc w:val="both"/>
      </w:pPr>
      <w:r>
        <w:rPr>
          <w:rFonts w:ascii="仿宋_GB2312" w:hAnsi="仿宋_GB2312" w:eastAsia="仿宋_GB2312"/>
          <w:b w:val="0"/>
          <w:sz w:val="32"/>
        </w:rPr>
        <w:t>3.卫生健康支出(类)8.09万元</w:t>
      </w:r>
      <w:r>
        <w:rPr>
          <w:rFonts w:hint="eastAsia" w:ascii="仿宋_GB2312" w:hAnsi="仿宋_GB2312" w:eastAsia="仿宋_GB2312"/>
          <w:b w:val="0"/>
          <w:sz w:val="32"/>
          <w:lang w:eastAsia="zh-CN"/>
        </w:rPr>
        <w:t>，</w:t>
      </w:r>
      <w:r>
        <w:rPr>
          <w:rFonts w:ascii="仿宋_GB2312" w:hAnsi="仿宋_GB2312" w:eastAsia="仿宋_GB2312"/>
          <w:b w:val="0"/>
          <w:sz w:val="32"/>
        </w:rPr>
        <w:t>占3.49%。</w:t>
      </w:r>
    </w:p>
    <w:p w14:paraId="5381166C">
      <w:pPr>
        <w:spacing w:line="580" w:lineRule="exact"/>
        <w:ind w:firstLine="640"/>
        <w:jc w:val="both"/>
      </w:pPr>
      <w:r>
        <w:rPr>
          <w:rFonts w:ascii="仿宋_GB2312" w:hAnsi="仿宋_GB2312" w:eastAsia="仿宋_GB2312"/>
          <w:b w:val="0"/>
          <w:sz w:val="32"/>
        </w:rPr>
        <w:t>4.住房保障支出(类)17.47万元</w:t>
      </w:r>
      <w:r>
        <w:rPr>
          <w:rFonts w:hint="eastAsia" w:ascii="仿宋_GB2312" w:hAnsi="仿宋_GB2312" w:eastAsia="仿宋_GB2312"/>
          <w:b w:val="0"/>
          <w:sz w:val="32"/>
          <w:lang w:eastAsia="zh-CN"/>
        </w:rPr>
        <w:t>，</w:t>
      </w:r>
      <w:r>
        <w:rPr>
          <w:rFonts w:ascii="仿宋_GB2312" w:hAnsi="仿宋_GB2312" w:eastAsia="仿宋_GB2312"/>
          <w:b w:val="0"/>
          <w:sz w:val="32"/>
        </w:rPr>
        <w:t>占7.53%。</w:t>
      </w:r>
    </w:p>
    <w:p w14:paraId="46F743D0">
      <w:pPr>
        <w:spacing w:line="640" w:lineRule="exact"/>
        <w:ind w:firstLine="640"/>
        <w:jc w:val="both"/>
        <w:outlineLvl w:val="3"/>
      </w:pPr>
      <w:r>
        <w:rPr>
          <w:rFonts w:ascii="楷体_GB2312" w:hAnsi="楷体_GB2312" w:eastAsia="楷体_GB2312"/>
          <w:b/>
          <w:sz w:val="32"/>
        </w:rPr>
        <w:t>（三）一般公共预算财政拨款支出决算具体情况</w:t>
      </w:r>
    </w:p>
    <w:p w14:paraId="2DF059D1">
      <w:pPr>
        <w:spacing w:line="580" w:lineRule="exact"/>
        <w:ind w:firstLine="640"/>
        <w:jc w:val="both"/>
      </w:pPr>
      <w:r>
        <w:rPr>
          <w:rFonts w:ascii="仿宋_GB2312" w:hAnsi="仿宋_GB2312" w:eastAsia="仿宋_GB2312"/>
          <w:b w:val="0"/>
          <w:sz w:val="32"/>
        </w:rPr>
        <w:t>1.一般公共服务支出(类)群众团体事务(款)行政运行(项)</w:t>
      </w:r>
      <w:bookmarkStart w:id="0" w:name="_GoBack"/>
      <w:r>
        <w:rPr>
          <w:rFonts w:hint="eastAsia" w:ascii="仿宋_GB2312" w:hAnsi="仿宋_GB2312" w:eastAsia="仿宋_GB2312"/>
          <w:b w:val="0"/>
          <w:sz w:val="32"/>
          <w:lang w:eastAsia="zh-CN"/>
        </w:rPr>
        <w:t>：</w:t>
      </w:r>
      <w:bookmarkEnd w:id="0"/>
      <w:r>
        <w:rPr>
          <w:rFonts w:ascii="仿宋_GB2312" w:hAnsi="仿宋_GB2312" w:eastAsia="仿宋_GB2312"/>
          <w:b w:val="0"/>
          <w:sz w:val="32"/>
        </w:rPr>
        <w:t>支出决算数为101.18万元，比上年决算减少3.98万元，下降3.78%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rPr>
        <w:t>本年在职人员调入调出，人员职级不同，缴费基数不同</w:t>
      </w:r>
      <w:r>
        <w:rPr>
          <w:rFonts w:ascii="仿宋_GB2312" w:hAnsi="仿宋_GB2312" w:eastAsia="仿宋_GB2312"/>
          <w:b w:val="0"/>
          <w:sz w:val="32"/>
        </w:rPr>
        <w:t>，因此人员经费减少。</w:t>
      </w:r>
    </w:p>
    <w:p w14:paraId="45B38569">
      <w:pPr>
        <w:spacing w:line="580" w:lineRule="exact"/>
        <w:ind w:firstLine="640"/>
        <w:jc w:val="both"/>
      </w:pPr>
      <w:r>
        <w:rPr>
          <w:rFonts w:ascii="仿宋_GB2312" w:hAnsi="仿宋_GB2312" w:eastAsia="仿宋_GB2312"/>
          <w:b w:val="0"/>
          <w:sz w:val="32"/>
        </w:rPr>
        <w:t>2.一般公共服务支出(类)群众团体事务(款)事业运行(项)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支出决算数为67.36万元，比上年决算增加1.67万元，增长2.54%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14:paraId="16B0104F">
      <w:pPr>
        <w:spacing w:line="580" w:lineRule="exact"/>
        <w:ind w:firstLine="640"/>
        <w:jc w:val="both"/>
      </w:pPr>
      <w:r>
        <w:rPr>
          <w:rFonts w:ascii="仿宋_GB2312" w:hAnsi="仿宋_GB2312" w:eastAsia="仿宋_GB2312"/>
          <w:b w:val="0"/>
          <w:sz w:val="32"/>
        </w:rPr>
        <w:t>3.一般公共服务支出(类)组织事务(款)其他组织事务支出(项)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支出决算数为0.78万元，比上年决算减少0.44万元，下降36.07%</w:t>
      </w:r>
      <w:r>
        <w:rPr>
          <w:rFonts w:hint="eastAsia" w:ascii="仿宋_GB2312" w:hAnsi="仿宋_GB2312" w:eastAsia="仿宋_GB2312"/>
          <w:b w:val="0"/>
          <w:sz w:val="32"/>
          <w:lang w:eastAsia="zh-CN"/>
        </w:rPr>
        <w:t>，</w:t>
      </w:r>
      <w:r>
        <w:rPr>
          <w:rFonts w:ascii="仿宋_GB2312" w:hAnsi="仿宋_GB2312" w:eastAsia="仿宋_GB2312"/>
          <w:b w:val="0"/>
          <w:sz w:val="32"/>
        </w:rPr>
        <w:t>主要原因是：第一书记为民办事项目经费支出减少。</w:t>
      </w:r>
    </w:p>
    <w:p w14:paraId="1F14FDF9">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支出决算数为7.97万元，比上年决算增加2.01万元，增长33.72%</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主要原因是：2024年度一人在职转退休，因此退休费增加。</w:t>
      </w:r>
    </w:p>
    <w:p w14:paraId="47259D5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支出决算数为21.87万元，比上年决算增加0.88万元，增长4.19%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4741A83B">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支出决算数为7.25万元，比上年决算减少11.95万元，下降62.24%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w:t>
      </w:r>
      <w:r>
        <w:rPr>
          <w:rFonts w:hint="eastAsia" w:ascii="仿宋_GB2312" w:hAnsi="仿宋_GB2312" w:eastAsia="仿宋_GB2312"/>
          <w:b w:val="0"/>
          <w:sz w:val="32"/>
          <w:lang w:val="en-US" w:eastAsia="zh-CN"/>
        </w:rPr>
        <w:t>较上年减少</w:t>
      </w:r>
      <w:r>
        <w:rPr>
          <w:rFonts w:ascii="仿宋_GB2312" w:hAnsi="仿宋_GB2312" w:eastAsia="仿宋_GB2312"/>
          <w:b w:val="0"/>
          <w:sz w:val="32"/>
        </w:rPr>
        <w:t>，因此职业年金缴费较上年减少。</w:t>
      </w:r>
    </w:p>
    <w:p w14:paraId="6F8BDBFB">
      <w:pPr>
        <w:spacing w:line="580" w:lineRule="exact"/>
        <w:ind w:firstLine="640"/>
        <w:jc w:val="both"/>
      </w:pPr>
      <w:r>
        <w:rPr>
          <w:rFonts w:ascii="仿宋_GB2312" w:hAnsi="仿宋_GB2312" w:eastAsia="仿宋_GB2312"/>
          <w:b w:val="0"/>
          <w:sz w:val="32"/>
        </w:rPr>
        <w:t>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支出决算数为5.33万元，比上年决算增加0.05万元，增长0.95%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071C3C2A">
      <w:pPr>
        <w:spacing w:line="580" w:lineRule="exact"/>
        <w:ind w:firstLine="640"/>
        <w:jc w:val="both"/>
      </w:pPr>
      <w:r>
        <w:rPr>
          <w:rFonts w:ascii="仿宋_GB2312" w:hAnsi="仿宋_GB2312" w:eastAsia="仿宋_GB2312"/>
          <w:b w:val="0"/>
          <w:sz w:val="32"/>
        </w:rPr>
        <w:t>8.卫生健康支出(类)行政事业单位医疗(款)事业单位医疗(项)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支出决算数为2.76万元，比上年决算增加0.31万元，增长12.65%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75494A30">
      <w:pPr>
        <w:spacing w:line="580" w:lineRule="exact"/>
        <w:ind w:firstLine="640"/>
        <w:jc w:val="both"/>
      </w:pPr>
      <w:r>
        <w:rPr>
          <w:rFonts w:ascii="仿宋_GB2312" w:hAnsi="仿宋_GB2312" w:eastAsia="仿宋_GB2312"/>
          <w:b w:val="0"/>
          <w:sz w:val="32"/>
        </w:rPr>
        <w:t>9.住房保障支出(类)住房改革支出(款)住房公积金(项)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支出决算数为17.47万元，比上年决算减少0.09万元，下降0.51%</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rPr>
        <w:t>本年在职人员调入调出，人员职级不同，缴费基数不同</w:t>
      </w:r>
      <w:r>
        <w:rPr>
          <w:rFonts w:ascii="仿宋_GB2312" w:hAnsi="仿宋_GB2312" w:eastAsia="仿宋_GB2312"/>
          <w:b w:val="0"/>
          <w:sz w:val="32"/>
        </w:rPr>
        <w:t>，住房公积金</w:t>
      </w:r>
      <w:r>
        <w:rPr>
          <w:rFonts w:hint="eastAsia" w:ascii="仿宋_GB2312" w:hAnsi="仿宋_GB2312" w:eastAsia="仿宋_GB2312"/>
          <w:b w:val="0"/>
          <w:sz w:val="32"/>
          <w:lang w:val="en-US" w:eastAsia="zh-CN"/>
        </w:rPr>
        <w:t>支出减少</w:t>
      </w:r>
      <w:r>
        <w:rPr>
          <w:rFonts w:ascii="仿宋_GB2312" w:hAnsi="仿宋_GB2312" w:eastAsia="仿宋_GB2312"/>
          <w:b w:val="0"/>
          <w:sz w:val="32"/>
        </w:rPr>
        <w:t>。</w:t>
      </w:r>
    </w:p>
    <w:p w14:paraId="4F173065">
      <w:pPr>
        <w:spacing w:line="640" w:lineRule="exact"/>
        <w:ind w:firstLine="640"/>
        <w:jc w:val="both"/>
        <w:outlineLvl w:val="2"/>
      </w:pPr>
      <w:r>
        <w:rPr>
          <w:rFonts w:ascii="黑体" w:hAnsi="黑体" w:eastAsia="黑体"/>
          <w:sz w:val="32"/>
        </w:rPr>
        <w:t>六、一般公共预算财政拨款基本支出决算情况说明</w:t>
      </w:r>
    </w:p>
    <w:p w14:paraId="652BA24D">
      <w:pPr>
        <w:spacing w:line="580" w:lineRule="exact"/>
        <w:ind w:firstLine="640"/>
        <w:jc w:val="both"/>
      </w:pPr>
      <w:r>
        <w:rPr>
          <w:rFonts w:ascii="仿宋_GB2312" w:hAnsi="仿宋_GB2312" w:eastAsia="仿宋_GB2312"/>
          <w:b w:val="0"/>
          <w:sz w:val="32"/>
        </w:rPr>
        <w:t>2024年度一般公共预算财政拨款基本支出231.19万元，其中：</w:t>
      </w:r>
      <w:r>
        <w:rPr>
          <w:rFonts w:ascii="仿宋_GB2312" w:hAnsi="仿宋_GB2312" w:eastAsia="仿宋_GB2312"/>
          <w:b/>
          <w:sz w:val="32"/>
        </w:rPr>
        <w:t>人员经费227.87万元，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379BEA1F">
      <w:pPr>
        <w:spacing w:line="580" w:lineRule="exact"/>
        <w:ind w:firstLine="640"/>
        <w:jc w:val="both"/>
      </w:pPr>
      <w:r>
        <w:rPr>
          <w:rFonts w:ascii="仿宋_GB2312" w:hAnsi="仿宋_GB2312" w:eastAsia="仿宋_GB2312"/>
          <w:b/>
          <w:sz w:val="32"/>
        </w:rPr>
        <w:t>公用经费3.32万元，</w:t>
      </w:r>
      <w:r>
        <w:rPr>
          <w:rFonts w:ascii="仿宋_GB2312" w:hAnsi="仿宋_GB2312" w:eastAsia="仿宋_GB2312"/>
          <w:b w:val="0"/>
          <w:sz w:val="32"/>
        </w:rPr>
        <w:t>包括：办公费、取暖费、差旅费、委托业务费、福利费。</w:t>
      </w:r>
    </w:p>
    <w:p w14:paraId="08D7D6C5">
      <w:pPr>
        <w:spacing w:line="640" w:lineRule="exact"/>
        <w:ind w:firstLine="640"/>
        <w:jc w:val="both"/>
        <w:outlineLvl w:val="2"/>
      </w:pPr>
      <w:r>
        <w:rPr>
          <w:rFonts w:ascii="黑体" w:hAnsi="黑体" w:eastAsia="黑体"/>
          <w:sz w:val="32"/>
        </w:rPr>
        <w:t>七、政府性基金预算财政拨款收入支出决算情况说明</w:t>
      </w:r>
    </w:p>
    <w:p w14:paraId="177FE48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2AB9C3B">
      <w:pPr>
        <w:spacing w:line="640" w:lineRule="exact"/>
        <w:ind w:firstLine="640"/>
        <w:jc w:val="both"/>
        <w:outlineLvl w:val="2"/>
      </w:pPr>
      <w:r>
        <w:rPr>
          <w:rFonts w:ascii="黑体" w:hAnsi="黑体" w:eastAsia="黑体"/>
          <w:sz w:val="32"/>
        </w:rPr>
        <w:t>八、国有资本经营预算财政拨款收入支出决算情况说明</w:t>
      </w:r>
    </w:p>
    <w:p w14:paraId="10329D4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A85F66">
      <w:pPr>
        <w:spacing w:line="640" w:lineRule="exact"/>
        <w:ind w:firstLine="640"/>
        <w:jc w:val="both"/>
        <w:outlineLvl w:val="2"/>
      </w:pPr>
      <w:r>
        <w:rPr>
          <w:rFonts w:ascii="黑体" w:hAnsi="黑体" w:eastAsia="黑体"/>
          <w:sz w:val="32"/>
        </w:rPr>
        <w:t>九、财政拨款“三公”经费支出决算情况说明</w:t>
      </w:r>
    </w:p>
    <w:p w14:paraId="6A0C8FE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7F5B4AC">
      <w:pPr>
        <w:spacing w:line="580" w:lineRule="exact"/>
        <w:ind w:firstLine="640"/>
        <w:jc w:val="both"/>
      </w:pPr>
      <w:r>
        <w:rPr>
          <w:rFonts w:ascii="仿宋_GB2312" w:hAnsi="仿宋_GB2312" w:eastAsia="仿宋_GB2312"/>
          <w:b/>
          <w:sz w:val="32"/>
        </w:rPr>
        <w:t>具体情况如下：</w:t>
      </w:r>
    </w:p>
    <w:p w14:paraId="118438B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40E63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58C51E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BEA2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BB77799">
      <w:pPr>
        <w:spacing w:line="640" w:lineRule="exact"/>
        <w:ind w:firstLine="640"/>
        <w:jc w:val="both"/>
        <w:outlineLvl w:val="2"/>
      </w:pPr>
      <w:r>
        <w:rPr>
          <w:rFonts w:ascii="黑体" w:hAnsi="黑体" w:eastAsia="黑体"/>
          <w:sz w:val="32"/>
        </w:rPr>
        <w:t>十、其他重要事项的情况说明</w:t>
      </w:r>
    </w:p>
    <w:p w14:paraId="4DAAF79F">
      <w:pPr>
        <w:spacing w:line="640" w:lineRule="exact"/>
        <w:ind w:firstLine="640"/>
        <w:jc w:val="both"/>
        <w:outlineLvl w:val="3"/>
      </w:pPr>
      <w:r>
        <w:rPr>
          <w:rFonts w:ascii="楷体_GB2312" w:hAnsi="楷体_GB2312" w:eastAsia="楷体_GB2312"/>
          <w:b/>
          <w:sz w:val="32"/>
        </w:rPr>
        <w:t>（一）机关运行经费及公用经费支出情况</w:t>
      </w:r>
    </w:p>
    <w:p w14:paraId="4677072F">
      <w:pPr>
        <w:spacing w:line="580" w:lineRule="exact"/>
        <w:ind w:firstLine="640"/>
        <w:jc w:val="both"/>
      </w:pPr>
      <w:r>
        <w:rPr>
          <w:rFonts w:ascii="仿宋_GB2312" w:hAnsi="仿宋_GB2312" w:eastAsia="仿宋_GB2312"/>
          <w:b w:val="0"/>
          <w:sz w:val="32"/>
        </w:rPr>
        <w:t>2024年度阿图什市总工会（行政单位和参照公务员法管理事业单位）机关运行经费支出3.32万元，比上年增加0.31万元，增长10.30%，主要原因是：本年度支付办公楼两年的取暖费，机关运行经费较上年增加。</w:t>
      </w:r>
    </w:p>
    <w:p w14:paraId="1DCBECFA">
      <w:pPr>
        <w:spacing w:line="640" w:lineRule="exact"/>
        <w:ind w:firstLine="640"/>
        <w:jc w:val="both"/>
        <w:outlineLvl w:val="3"/>
      </w:pPr>
      <w:r>
        <w:rPr>
          <w:rFonts w:ascii="楷体_GB2312" w:hAnsi="楷体_GB2312" w:eastAsia="楷体_GB2312"/>
          <w:b/>
          <w:sz w:val="32"/>
        </w:rPr>
        <w:t>（二）政府采购情况</w:t>
      </w:r>
    </w:p>
    <w:p w14:paraId="6BC15FD3">
      <w:pPr>
        <w:spacing w:line="580" w:lineRule="exact"/>
        <w:ind w:firstLine="640"/>
        <w:jc w:val="both"/>
      </w:pPr>
      <w:r>
        <w:rPr>
          <w:rFonts w:ascii="仿宋_GB2312" w:hAnsi="仿宋_GB2312" w:eastAsia="仿宋_GB2312"/>
          <w:b w:val="0"/>
          <w:sz w:val="32"/>
        </w:rPr>
        <w:t>2024年度政府采购支出总额11.54万元，其中：政府采购货物支出11.34万元、政府采购工程支出0.00万元、政府采购服务支出0.20万元。</w:t>
      </w:r>
    </w:p>
    <w:p w14:paraId="503834F7">
      <w:pPr>
        <w:spacing w:line="580" w:lineRule="exact"/>
        <w:ind w:firstLine="640"/>
        <w:jc w:val="both"/>
      </w:pPr>
      <w:r>
        <w:rPr>
          <w:rFonts w:ascii="仿宋_GB2312" w:hAnsi="仿宋_GB2312" w:eastAsia="仿宋_GB2312"/>
          <w:b w:val="0"/>
          <w:sz w:val="32"/>
        </w:rPr>
        <w:t>授予中小企业合同金额2.24万元，占政府采购支出总额的19.41%，其中：授予小微企业合同金额2.24万元，占政府采购支出总额的19.41%。</w:t>
      </w:r>
    </w:p>
    <w:p w14:paraId="7F336365">
      <w:pPr>
        <w:spacing w:line="640" w:lineRule="exact"/>
        <w:ind w:firstLine="640"/>
        <w:jc w:val="both"/>
        <w:outlineLvl w:val="3"/>
      </w:pPr>
      <w:r>
        <w:rPr>
          <w:rFonts w:ascii="楷体_GB2312" w:hAnsi="楷体_GB2312" w:eastAsia="楷体_GB2312"/>
          <w:b/>
          <w:sz w:val="32"/>
        </w:rPr>
        <w:t>（三）国有资产占用情况说明</w:t>
      </w:r>
    </w:p>
    <w:p w14:paraId="7F53E72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E5E2370">
      <w:pPr>
        <w:spacing w:line="640" w:lineRule="exact"/>
        <w:ind w:firstLine="640"/>
        <w:jc w:val="both"/>
        <w:outlineLvl w:val="2"/>
      </w:pPr>
      <w:r>
        <w:rPr>
          <w:rFonts w:ascii="黑体" w:hAnsi="黑体" w:eastAsia="黑体"/>
          <w:sz w:val="32"/>
        </w:rPr>
        <w:t>十一、预算绩效的情况说明</w:t>
      </w:r>
    </w:p>
    <w:p w14:paraId="421B400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231.99万元，实际执行总额231.97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1F97314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8EB83B9">
        <w:tblPrEx>
          <w:tblCellMar>
            <w:top w:w="0" w:type="dxa"/>
            <w:left w:w="108" w:type="dxa"/>
            <w:bottom w:w="0" w:type="dxa"/>
            <w:right w:w="108" w:type="dxa"/>
          </w:tblCellMar>
        </w:tblPrEx>
        <w:tc>
          <w:tcPr>
            <w:tcW w:w="8840" w:type="dxa"/>
            <w:gridSpan w:val="8"/>
            <w:vAlign w:val="center"/>
          </w:tcPr>
          <w:p w14:paraId="47A05708">
            <w:pPr>
              <w:jc w:val="center"/>
            </w:pPr>
            <w:r>
              <w:rPr>
                <w:rFonts w:ascii="宋体" w:hAnsi="宋体" w:eastAsia="宋体"/>
                <w:sz w:val="24"/>
              </w:rPr>
              <w:t>单位整体支出绩效自评表</w:t>
            </w:r>
          </w:p>
        </w:tc>
      </w:tr>
      <w:tr w14:paraId="05219872">
        <w:tblPrEx>
          <w:tblCellMar>
            <w:top w:w="0" w:type="dxa"/>
            <w:left w:w="108" w:type="dxa"/>
            <w:bottom w:w="0" w:type="dxa"/>
            <w:right w:w="108" w:type="dxa"/>
          </w:tblCellMar>
        </w:tblPrEx>
        <w:tc>
          <w:tcPr>
            <w:tcW w:w="8840" w:type="dxa"/>
            <w:gridSpan w:val="8"/>
            <w:vAlign w:val="center"/>
          </w:tcPr>
          <w:p w14:paraId="03623FA9">
            <w:pPr>
              <w:jc w:val="center"/>
            </w:pPr>
            <w:r>
              <w:rPr>
                <w:rFonts w:ascii="宋体" w:hAnsi="宋体" w:eastAsia="宋体"/>
                <w:sz w:val="24"/>
              </w:rPr>
              <w:t>（2024年度）</w:t>
            </w:r>
          </w:p>
        </w:tc>
      </w:tr>
      <w:tr w14:paraId="5ACDAB1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1CE0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6C9C6C">
            <w:pPr>
              <w:jc w:val="center"/>
            </w:pPr>
            <w:r>
              <w:rPr>
                <w:rFonts w:ascii="宋体" w:hAnsi="宋体" w:eastAsia="宋体"/>
                <w:sz w:val="16"/>
              </w:rPr>
              <w:t>阿图什市总工会</w:t>
            </w:r>
          </w:p>
        </w:tc>
      </w:tr>
      <w:tr w14:paraId="665260A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30DF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5A3F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9B3B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E797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8378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2AC1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A3FF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593F4">
            <w:pPr>
              <w:jc w:val="center"/>
            </w:pPr>
            <w:r>
              <w:rPr>
                <w:rFonts w:ascii="宋体" w:hAnsi="宋体" w:eastAsia="宋体"/>
                <w:sz w:val="16"/>
              </w:rPr>
              <w:t>得分</w:t>
            </w:r>
          </w:p>
        </w:tc>
      </w:tr>
      <w:tr w14:paraId="477742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9BA7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1B11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FE96F">
            <w:pPr>
              <w:jc w:val="center"/>
            </w:pPr>
            <w:r>
              <w:rPr>
                <w:rFonts w:ascii="宋体" w:hAnsi="宋体" w:eastAsia="宋体"/>
                <w:sz w:val="16"/>
              </w:rPr>
              <w:t>245.51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449C2">
            <w:pPr>
              <w:jc w:val="center"/>
            </w:pPr>
            <w:r>
              <w:rPr>
                <w:rFonts w:ascii="宋体" w:hAnsi="宋体" w:eastAsia="宋体"/>
                <w:sz w:val="16"/>
              </w:rPr>
              <w:t>231.99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12B8E">
            <w:pPr>
              <w:jc w:val="center"/>
            </w:pPr>
            <w:r>
              <w:rPr>
                <w:rFonts w:ascii="宋体" w:hAnsi="宋体" w:eastAsia="宋体"/>
                <w:sz w:val="16"/>
              </w:rPr>
              <w:t>231.97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3528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B3184">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E5CC6">
            <w:pPr>
              <w:jc w:val="center"/>
              <w:rPr>
                <w:rFonts w:hint="default" w:eastAsia="宋体"/>
                <w:lang w:val="en-US" w:eastAsia="zh-CN"/>
              </w:rPr>
            </w:pPr>
            <w:r>
              <w:rPr>
                <w:rFonts w:hint="eastAsia" w:ascii="宋体" w:hAnsi="宋体"/>
                <w:sz w:val="16"/>
                <w:lang w:val="en-US" w:eastAsia="zh-CN"/>
              </w:rPr>
              <w:t>9.99</w:t>
            </w:r>
          </w:p>
        </w:tc>
      </w:tr>
      <w:tr w14:paraId="2ED38C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21B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9293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2012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8A1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CF6C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4B6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3EE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5872D">
            <w:pPr>
              <w:jc w:val="center"/>
            </w:pPr>
            <w:r>
              <w:rPr>
                <w:rFonts w:ascii="宋体" w:hAnsi="宋体" w:eastAsia="宋体"/>
                <w:sz w:val="16"/>
              </w:rPr>
              <w:t>—</w:t>
            </w:r>
          </w:p>
        </w:tc>
      </w:tr>
      <w:tr w14:paraId="7DE701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CBE1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0127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69EC3">
            <w:pPr>
              <w:jc w:val="center"/>
            </w:pPr>
            <w:r>
              <w:rPr>
                <w:rFonts w:ascii="宋体" w:hAnsi="宋体" w:eastAsia="宋体"/>
                <w:sz w:val="16"/>
              </w:rPr>
              <w:t>245.51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60A16">
            <w:pPr>
              <w:jc w:val="center"/>
            </w:pPr>
            <w:r>
              <w:rPr>
                <w:rFonts w:ascii="宋体" w:hAnsi="宋体" w:eastAsia="宋体"/>
                <w:sz w:val="16"/>
              </w:rPr>
              <w:t>231.99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08ECE">
            <w:pPr>
              <w:jc w:val="center"/>
            </w:pPr>
            <w:r>
              <w:rPr>
                <w:rFonts w:ascii="宋体" w:hAnsi="宋体" w:eastAsia="宋体"/>
                <w:sz w:val="16"/>
              </w:rPr>
              <w:t>231.97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EB6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B26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115F2">
            <w:pPr>
              <w:jc w:val="center"/>
            </w:pPr>
            <w:r>
              <w:rPr>
                <w:rFonts w:ascii="宋体" w:hAnsi="宋体" w:eastAsia="宋体"/>
                <w:sz w:val="16"/>
              </w:rPr>
              <w:t>—</w:t>
            </w:r>
          </w:p>
        </w:tc>
      </w:tr>
      <w:tr w14:paraId="74994B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C5BA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2244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1BB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DAA9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D0E5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4BD2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77C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47186">
            <w:pPr>
              <w:jc w:val="center"/>
            </w:pPr>
            <w:r>
              <w:rPr>
                <w:rFonts w:ascii="宋体" w:hAnsi="宋体" w:eastAsia="宋体"/>
                <w:sz w:val="16"/>
              </w:rPr>
              <w:t>—</w:t>
            </w:r>
          </w:p>
        </w:tc>
      </w:tr>
      <w:tr w14:paraId="761A74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BE48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8360B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278553">
            <w:pPr>
              <w:jc w:val="center"/>
            </w:pPr>
            <w:r>
              <w:rPr>
                <w:rFonts w:ascii="宋体" w:hAnsi="宋体" w:eastAsia="宋体"/>
                <w:sz w:val="16"/>
              </w:rPr>
              <w:t>实际完成情况</w:t>
            </w:r>
          </w:p>
        </w:tc>
      </w:tr>
      <w:tr w14:paraId="6DE20A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AEB3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51CC77">
            <w:pPr>
              <w:jc w:val="both"/>
            </w:pPr>
            <w:r>
              <w:rPr>
                <w:rFonts w:ascii="宋体" w:hAnsi="宋体" w:eastAsia="宋体"/>
                <w:sz w:val="16"/>
              </w:rPr>
              <w:t>单位基本职能：1、维护职工群众的合法利益和民主权利。2、动员和组织广大职工群众积极参加改革和建设</w:t>
            </w:r>
            <w:r>
              <w:rPr>
                <w:rFonts w:hint="eastAsia" w:ascii="宋体" w:hAnsi="宋体"/>
                <w:sz w:val="16"/>
                <w:lang w:eastAsia="zh-CN"/>
              </w:rPr>
              <w:t>，</w:t>
            </w:r>
            <w:r>
              <w:rPr>
                <w:rFonts w:ascii="宋体" w:hAnsi="宋体" w:eastAsia="宋体"/>
                <w:sz w:val="16"/>
              </w:rPr>
              <w:t xml:space="preserve"> 努力完成经济和社会发展任务。3、工会代表和组织职工参与国家和社会事务管理</w:t>
            </w:r>
            <w:r>
              <w:rPr>
                <w:rFonts w:hint="eastAsia" w:ascii="宋体" w:hAnsi="宋体"/>
                <w:sz w:val="16"/>
                <w:lang w:eastAsia="zh-CN"/>
              </w:rPr>
              <w:t>，</w:t>
            </w:r>
            <w:r>
              <w:rPr>
                <w:rFonts w:ascii="宋体" w:hAnsi="宋体" w:eastAsia="宋体"/>
                <w:sz w:val="16"/>
              </w:rPr>
              <w:t>参与企业、事业和机关的民主管理。4、教育职工不断提高思想道德素质和科学文化素质</w:t>
            </w:r>
            <w:r>
              <w:rPr>
                <w:rFonts w:hint="eastAsia" w:ascii="宋体" w:hAnsi="宋体"/>
                <w:sz w:val="16"/>
                <w:lang w:eastAsia="zh-CN"/>
              </w:rPr>
              <w:t>，</w:t>
            </w:r>
            <w:r>
              <w:rPr>
                <w:rFonts w:ascii="宋体" w:hAnsi="宋体" w:eastAsia="宋体"/>
                <w:sz w:val="16"/>
              </w:rPr>
              <w:t xml:space="preserve"> 建设有理想、有道德、有文化、有纪律的职工队伍。</w:t>
            </w:r>
            <w:r>
              <w:rPr>
                <w:rFonts w:ascii="宋体" w:hAnsi="宋体" w:eastAsia="宋体"/>
                <w:sz w:val="16"/>
              </w:rPr>
              <w:br w:type="textWrapping"/>
            </w:r>
            <w:r>
              <w:rPr>
                <w:rFonts w:ascii="宋体" w:hAnsi="宋体" w:eastAsia="宋体"/>
                <w:sz w:val="16"/>
              </w:rPr>
              <w:t>机构设置及人员配置：无下属预算单位，下设3个科室，编制数12，实有人数19人，在职14人，退休5人。</w:t>
            </w:r>
            <w:r>
              <w:rPr>
                <w:rFonts w:ascii="宋体" w:hAnsi="宋体" w:eastAsia="宋体"/>
                <w:sz w:val="16"/>
              </w:rPr>
              <w:br w:type="textWrapping"/>
            </w:r>
            <w:r>
              <w:rPr>
                <w:rFonts w:ascii="宋体" w:hAnsi="宋体" w:eastAsia="宋体"/>
                <w:sz w:val="16"/>
              </w:rPr>
              <w:t>中长期规划：严格按照自治区、自治州总工会的安排部署，贯彻落实总目标，积极履行职能，在基层工会组织建设，维护职工合法权益，困难职工帮扶，创新服务职工等方面，充分发挥了工会组织的作用。以创建学习型组织为载体，以提高职工整体素质为目的，切实加强工会队伍建设和工会自身建设积极维护职工合法权益，充分调动和发挥职工的积极性和创造性。</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401FE1">
            <w:pPr>
              <w:jc w:val="both"/>
            </w:pPr>
            <w:r>
              <w:rPr>
                <w:rFonts w:ascii="宋体" w:hAnsi="宋体" w:eastAsia="宋体"/>
                <w:sz w:val="16"/>
              </w:rPr>
              <w:t>本单位共计支出231.97万元，用于保障部门在职14人，退休5人的工资福利、各项补助正常发放及部门单位正常运转，单位预算项目根据年初计划均已完成，以创建学习型组织为载体，以提高职工整体素质为目的，切实加强工会队伍建设和工会自身建设积极维护职工合法权益，充分调动和发挥职工的积极性和创造性，年度任务中完成开展基层业务培训次数5期，举办各类技能竞赛场次6次等目标。</w:t>
            </w:r>
          </w:p>
        </w:tc>
      </w:tr>
      <w:tr w14:paraId="19E0393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DF29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0913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A9C1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69FB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C58C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A66C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CC8E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E5D7B">
            <w:pPr>
              <w:jc w:val="center"/>
            </w:pPr>
            <w:r>
              <w:rPr>
                <w:rFonts w:ascii="宋体" w:hAnsi="宋体" w:eastAsia="宋体"/>
                <w:sz w:val="16"/>
              </w:rPr>
              <w:t>得分</w:t>
            </w:r>
          </w:p>
        </w:tc>
      </w:tr>
      <w:tr w14:paraId="74D7A7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7BD70">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0365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9ADB8">
            <w:pPr>
              <w:jc w:val="center"/>
            </w:pPr>
            <w:r>
              <w:rPr>
                <w:rFonts w:hint="eastAsia" w:ascii="宋体" w:hAnsi="宋体"/>
                <w:sz w:val="16"/>
                <w:lang w:eastAsia="zh-CN"/>
              </w:rPr>
              <w:t>“两新”组织</w:t>
            </w:r>
            <w:r>
              <w:rPr>
                <w:rFonts w:ascii="宋体" w:hAnsi="宋体" w:eastAsia="宋体"/>
                <w:sz w:val="16"/>
              </w:rPr>
              <w:t>建会率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F9B1D">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CE9C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9B0C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3B8E8">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75DC8">
            <w:pPr>
              <w:jc w:val="center"/>
            </w:pPr>
            <w:r>
              <w:rPr>
                <w:rFonts w:ascii="宋体" w:hAnsi="宋体" w:eastAsia="宋体"/>
                <w:sz w:val="16"/>
              </w:rPr>
              <w:t>18</w:t>
            </w:r>
          </w:p>
        </w:tc>
      </w:tr>
      <w:tr w14:paraId="13BF35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D3F5D">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EE07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F326B">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4EBD3">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3425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FF7E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FC61A">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265A6">
            <w:pPr>
              <w:jc w:val="center"/>
            </w:pPr>
            <w:r>
              <w:rPr>
                <w:rFonts w:ascii="宋体" w:hAnsi="宋体" w:eastAsia="宋体"/>
                <w:sz w:val="16"/>
              </w:rPr>
              <w:t>18</w:t>
            </w:r>
          </w:p>
        </w:tc>
      </w:tr>
      <w:tr w14:paraId="5141CC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E1950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2E95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627F1">
            <w:pPr>
              <w:jc w:val="center"/>
            </w:pPr>
            <w:r>
              <w:rPr>
                <w:rFonts w:ascii="宋体" w:hAnsi="宋体" w:eastAsia="宋体"/>
                <w:sz w:val="16"/>
              </w:rPr>
              <w:t>开展基层业务培训次数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905CF">
            <w:pPr>
              <w:jc w:val="center"/>
            </w:pPr>
            <w:r>
              <w:rPr>
                <w:rFonts w:ascii="宋体" w:hAnsi="宋体" w:eastAsia="宋体"/>
                <w:sz w:val="16"/>
              </w:rPr>
              <w:t>&gt;=4期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6529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9F7C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314A0">
            <w:pPr>
              <w:jc w:val="center"/>
            </w:pPr>
            <w:r>
              <w:rPr>
                <w:rFonts w:ascii="宋体" w:hAnsi="宋体" w:eastAsia="宋体"/>
                <w:sz w:val="16"/>
              </w:rPr>
              <w:t>5期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59DC0">
            <w:pPr>
              <w:jc w:val="center"/>
            </w:pPr>
            <w:r>
              <w:rPr>
                <w:rFonts w:ascii="宋体" w:hAnsi="宋体" w:eastAsia="宋体"/>
                <w:sz w:val="16"/>
              </w:rPr>
              <w:t>18</w:t>
            </w:r>
          </w:p>
        </w:tc>
      </w:tr>
      <w:tr w14:paraId="393A6166">
        <w:tblPrEx>
          <w:tblCellMar>
            <w:top w:w="0" w:type="dxa"/>
            <w:left w:w="108" w:type="dxa"/>
            <w:bottom w:w="0" w:type="dxa"/>
            <w:right w:w="108" w:type="dxa"/>
          </w:tblCellMar>
        </w:tblPrEx>
        <w:trPr>
          <w:trHeight w:val="901"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F244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B1FC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B7A40">
            <w:pPr>
              <w:jc w:val="center"/>
            </w:pPr>
            <w:r>
              <w:rPr>
                <w:rFonts w:ascii="宋体" w:hAnsi="宋体" w:eastAsia="宋体"/>
                <w:sz w:val="16"/>
              </w:rPr>
              <w:t>举办各类技能竞赛场次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8E18D">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FC5D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A11D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BC29C">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CBB40">
            <w:pPr>
              <w:jc w:val="center"/>
            </w:pPr>
            <w:r>
              <w:rPr>
                <w:rFonts w:ascii="宋体" w:hAnsi="宋体" w:eastAsia="宋体"/>
                <w:sz w:val="16"/>
              </w:rPr>
              <w:t>18</w:t>
            </w:r>
          </w:p>
        </w:tc>
      </w:tr>
      <w:tr w14:paraId="4A6CC77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7F217">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A37EE">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50C8A">
            <w:pPr>
              <w:jc w:val="center"/>
            </w:pPr>
            <w:r>
              <w:rPr>
                <w:rFonts w:ascii="宋体" w:hAnsi="宋体" w:eastAsia="宋体"/>
                <w:sz w:val="16"/>
              </w:rPr>
              <w:t>非公企业平等协商集体合同建制率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7C6ED">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0CA9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566A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FC4C3">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829E3">
            <w:pPr>
              <w:jc w:val="center"/>
            </w:pPr>
            <w:r>
              <w:rPr>
                <w:rFonts w:ascii="宋体" w:hAnsi="宋体" w:eastAsia="宋体"/>
                <w:sz w:val="16"/>
              </w:rPr>
              <w:t>18</w:t>
            </w:r>
          </w:p>
        </w:tc>
      </w:tr>
    </w:tbl>
    <w:p w14:paraId="0C6E97E2">
      <w:r>
        <w:br w:type="page"/>
      </w:r>
    </w:p>
    <w:p w14:paraId="24A06F43">
      <w:pPr>
        <w:spacing w:line="640" w:lineRule="exact"/>
        <w:ind w:firstLine="640"/>
        <w:jc w:val="both"/>
        <w:outlineLvl w:val="2"/>
      </w:pPr>
      <w:r>
        <w:rPr>
          <w:rFonts w:ascii="黑体" w:hAnsi="黑体" w:eastAsia="黑体"/>
          <w:sz w:val="32"/>
        </w:rPr>
        <w:t>十二、其他需说明的事项</w:t>
      </w:r>
    </w:p>
    <w:p w14:paraId="6EC9CAFE">
      <w:pPr>
        <w:spacing w:line="580" w:lineRule="exact"/>
        <w:ind w:firstLine="640"/>
        <w:jc w:val="both"/>
      </w:pPr>
      <w:r>
        <w:rPr>
          <w:rFonts w:ascii="仿宋_GB2312" w:hAnsi="仿宋_GB2312" w:eastAsia="仿宋_GB2312"/>
          <w:b w:val="0"/>
          <w:sz w:val="32"/>
        </w:rPr>
        <w:t>本单位无其他需说明的事项。</w:t>
      </w:r>
    </w:p>
    <w:p w14:paraId="6B2FAEBC">
      <w:r>
        <w:br w:type="page"/>
      </w:r>
    </w:p>
    <w:p w14:paraId="34F315C4">
      <w:pPr>
        <w:spacing w:line="240" w:lineRule="auto"/>
        <w:jc w:val="center"/>
        <w:outlineLvl w:val="1"/>
      </w:pPr>
      <w:r>
        <w:rPr>
          <w:rFonts w:ascii="黑体" w:hAnsi="黑体" w:eastAsia="黑体"/>
          <w:sz w:val="32"/>
        </w:rPr>
        <w:t>第三部分 专业名词解释</w:t>
      </w:r>
    </w:p>
    <w:p w14:paraId="422A311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05F3E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4076F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5E59B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415B5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D362E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1AFE3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CAB13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7AE5E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EFD39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68BF29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C82932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BA8496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C2AB4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639425">
      <w:r>
        <w:br w:type="page"/>
      </w:r>
    </w:p>
    <w:p w14:paraId="32B1067B">
      <w:pPr>
        <w:spacing w:line="240" w:lineRule="auto"/>
        <w:jc w:val="center"/>
        <w:outlineLvl w:val="1"/>
      </w:pPr>
      <w:r>
        <w:rPr>
          <w:rFonts w:ascii="黑体" w:hAnsi="黑体" w:eastAsia="黑体"/>
          <w:sz w:val="32"/>
        </w:rPr>
        <w:t>第四部分 部门决算报表（见附表）</w:t>
      </w:r>
    </w:p>
    <w:p w14:paraId="16A4976F">
      <w:pPr>
        <w:spacing w:line="240" w:lineRule="auto"/>
        <w:ind w:firstLine="640"/>
        <w:jc w:val="both"/>
      </w:pPr>
      <w:r>
        <w:rPr>
          <w:rFonts w:ascii="仿宋_GB2312" w:hAnsi="仿宋_GB2312" w:eastAsia="仿宋_GB2312"/>
          <w:b w:val="0"/>
          <w:sz w:val="32"/>
        </w:rPr>
        <w:t>一、《收入支出决算总表》</w:t>
      </w:r>
    </w:p>
    <w:p w14:paraId="5ABFF109">
      <w:pPr>
        <w:spacing w:line="240" w:lineRule="auto"/>
        <w:ind w:firstLine="640"/>
        <w:jc w:val="both"/>
      </w:pPr>
      <w:r>
        <w:rPr>
          <w:rFonts w:ascii="仿宋_GB2312" w:hAnsi="仿宋_GB2312" w:eastAsia="仿宋_GB2312"/>
          <w:b w:val="0"/>
          <w:sz w:val="32"/>
        </w:rPr>
        <w:t>二、《收入决算表》</w:t>
      </w:r>
    </w:p>
    <w:p w14:paraId="3338DEF0">
      <w:pPr>
        <w:spacing w:line="240" w:lineRule="auto"/>
        <w:ind w:firstLine="640"/>
        <w:jc w:val="both"/>
      </w:pPr>
      <w:r>
        <w:rPr>
          <w:rFonts w:ascii="仿宋_GB2312" w:hAnsi="仿宋_GB2312" w:eastAsia="仿宋_GB2312"/>
          <w:b w:val="0"/>
          <w:sz w:val="32"/>
        </w:rPr>
        <w:t>三、《支出决算表》</w:t>
      </w:r>
    </w:p>
    <w:p w14:paraId="5B72C530">
      <w:pPr>
        <w:spacing w:line="240" w:lineRule="auto"/>
        <w:ind w:firstLine="640"/>
        <w:jc w:val="both"/>
      </w:pPr>
      <w:r>
        <w:rPr>
          <w:rFonts w:ascii="仿宋_GB2312" w:hAnsi="仿宋_GB2312" w:eastAsia="仿宋_GB2312"/>
          <w:b w:val="0"/>
          <w:sz w:val="32"/>
        </w:rPr>
        <w:t>四、《财政拨款收入支出决算总表》</w:t>
      </w:r>
    </w:p>
    <w:p w14:paraId="1493BC63">
      <w:pPr>
        <w:spacing w:line="240" w:lineRule="auto"/>
        <w:ind w:firstLine="640"/>
        <w:jc w:val="both"/>
      </w:pPr>
      <w:r>
        <w:rPr>
          <w:rFonts w:ascii="仿宋_GB2312" w:hAnsi="仿宋_GB2312" w:eastAsia="仿宋_GB2312"/>
          <w:b w:val="0"/>
          <w:sz w:val="32"/>
        </w:rPr>
        <w:t>五、《一般公共预算财政拨款支出决算表》</w:t>
      </w:r>
    </w:p>
    <w:p w14:paraId="7C95A0DA">
      <w:pPr>
        <w:spacing w:line="240" w:lineRule="auto"/>
        <w:ind w:firstLine="640"/>
        <w:jc w:val="both"/>
      </w:pPr>
      <w:r>
        <w:rPr>
          <w:rFonts w:ascii="仿宋_GB2312" w:hAnsi="仿宋_GB2312" w:eastAsia="仿宋_GB2312"/>
          <w:b w:val="0"/>
          <w:sz w:val="32"/>
        </w:rPr>
        <w:t>六、《一般公共预算财政拨款基本支出决算表》</w:t>
      </w:r>
    </w:p>
    <w:p w14:paraId="5A7EAA34">
      <w:pPr>
        <w:spacing w:line="240" w:lineRule="auto"/>
        <w:ind w:firstLine="640"/>
        <w:jc w:val="both"/>
      </w:pPr>
      <w:r>
        <w:rPr>
          <w:rFonts w:ascii="仿宋_GB2312" w:hAnsi="仿宋_GB2312" w:eastAsia="仿宋_GB2312"/>
          <w:b w:val="0"/>
          <w:sz w:val="32"/>
        </w:rPr>
        <w:t>七、《政府性基金预算财政拨款收入支出决算表》</w:t>
      </w:r>
    </w:p>
    <w:p w14:paraId="37151343">
      <w:pPr>
        <w:spacing w:line="240" w:lineRule="auto"/>
        <w:ind w:firstLine="640"/>
        <w:jc w:val="both"/>
      </w:pPr>
      <w:r>
        <w:rPr>
          <w:rFonts w:ascii="仿宋_GB2312" w:hAnsi="仿宋_GB2312" w:eastAsia="仿宋_GB2312"/>
          <w:b w:val="0"/>
          <w:sz w:val="32"/>
        </w:rPr>
        <w:t>八、《国有资本经营预算财政拨款收入支出决算表》</w:t>
      </w:r>
    </w:p>
    <w:p w14:paraId="365AC25F">
      <w:pPr>
        <w:spacing w:line="240" w:lineRule="auto"/>
        <w:ind w:firstLine="640"/>
        <w:jc w:val="both"/>
      </w:pPr>
      <w:r>
        <w:rPr>
          <w:rFonts w:ascii="仿宋_GB2312" w:hAnsi="仿宋_GB2312" w:eastAsia="仿宋_GB2312"/>
          <w:b w:val="0"/>
          <w:sz w:val="32"/>
        </w:rPr>
        <w:t>九、《财政拨款“三公”经费支出决算表》</w:t>
      </w:r>
    </w:p>
    <w:p w14:paraId="1D52EDA7">
      <w:pPr>
        <w:spacing w:line="240" w:lineRule="auto"/>
        <w:ind w:firstLine="640"/>
        <w:jc w:val="both"/>
      </w:pPr>
    </w:p>
    <w:p w14:paraId="2689FC5A">
      <w:pPr>
        <w:spacing w:line="240" w:lineRule="auto"/>
        <w:ind w:firstLine="640"/>
        <w:jc w:val="both"/>
      </w:pPr>
    </w:p>
    <w:p w14:paraId="681B132D">
      <w:pPr>
        <w:spacing w:line="240" w:lineRule="auto"/>
        <w:ind w:firstLine="640"/>
        <w:jc w:val="both"/>
      </w:pPr>
    </w:p>
    <w:p w14:paraId="7B12C180">
      <w:pPr>
        <w:spacing w:line="240" w:lineRule="auto"/>
        <w:ind w:firstLine="640"/>
        <w:jc w:val="both"/>
      </w:pPr>
    </w:p>
    <w:p w14:paraId="7ED8F3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5575D2-6B44-42A5-8E90-52C00E7076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E2160CC-0D7E-4D19-9BE3-9A3E33CC475C}"/>
  </w:font>
  <w:font w:name="仿宋_GB2312">
    <w:panose1 w:val="02010609030101010101"/>
    <w:charset w:val="86"/>
    <w:family w:val="modern"/>
    <w:pitch w:val="default"/>
    <w:sig w:usb0="00000001" w:usb1="080E0000" w:usb2="00000000" w:usb3="00000000" w:csb0="00040000" w:csb1="00000000"/>
    <w:embedRegular r:id="rId3" w:fontKey="{40698F63-766D-4B49-8897-19796B430BB9}"/>
  </w:font>
  <w:font w:name="楷体_GB2312">
    <w:altName w:val="楷体"/>
    <w:panose1 w:val="00000000000000000000"/>
    <w:charset w:val="00"/>
    <w:family w:val="auto"/>
    <w:pitch w:val="default"/>
    <w:sig w:usb0="00000000" w:usb1="00000000" w:usb2="00000000" w:usb3="00000000" w:csb0="00000000" w:csb1="00000000"/>
    <w:embedRegular r:id="rId4" w:fontKey="{E1F79033-E05F-447C-9A8B-00A4637B24C4}"/>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9445E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8020EF"/>
    <w:rsid w:val="73DE4104"/>
    <w:rsid w:val="73FB6630"/>
    <w:rsid w:val="74CE04EC"/>
    <w:rsid w:val="74E76DCD"/>
    <w:rsid w:val="76660D7C"/>
    <w:rsid w:val="77ED6F44"/>
    <w:rsid w:val="795A0A34"/>
    <w:rsid w:val="7A0D3BC7"/>
    <w:rsid w:val="7A3A3CDB"/>
    <w:rsid w:val="7C2220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6203</Words>
  <Characters>6969</Characters>
  <Lines>0</Lines>
  <Paragraphs>0</Paragraphs>
  <TotalTime>6</TotalTime>
  <ScaleCrop>false</ScaleCrop>
  <LinksUpToDate>false</LinksUpToDate>
  <CharactersWithSpaces>6981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2025-09-08T09:26:45Z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