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阿图什市上阿图什镇依克萨克中学2024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98A626B">
      <w:r>
        <w:br w:type="page"/>
      </w:r>
    </w:p>
    <w:p w14:paraId="5DE79E1D">
      <w:pPr>
        <w:spacing w:line="640" w:lineRule="exact"/>
        <w:jc w:val="center"/>
        <w:outlineLvl w:val="1"/>
      </w:pPr>
      <w:r>
        <w:rPr>
          <w:rFonts w:ascii="黑体" w:hAnsi="黑体" w:eastAsia="黑体"/>
          <w:sz w:val="32"/>
        </w:rPr>
        <w:t>第一部分 单位概况</w:t>
      </w:r>
    </w:p>
    <w:p w14:paraId="74D5F0A5">
      <w:pPr>
        <w:spacing w:line="640" w:lineRule="exact"/>
        <w:ind w:firstLine="640"/>
        <w:jc w:val="both"/>
        <w:outlineLvl w:val="2"/>
      </w:pPr>
      <w:r>
        <w:rPr>
          <w:rFonts w:ascii="黑体" w:hAnsi="黑体" w:eastAsia="黑体"/>
          <w:sz w:val="32"/>
        </w:rPr>
        <w:t>一、主要职能</w:t>
      </w:r>
    </w:p>
    <w:p w14:paraId="3C44E617">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p>
    <w:p w14:paraId="661E4B7C">
      <w:pPr>
        <w:spacing w:line="640" w:lineRule="exact"/>
        <w:ind w:firstLine="640"/>
        <w:jc w:val="both"/>
        <w:outlineLvl w:val="2"/>
      </w:pPr>
      <w:r>
        <w:rPr>
          <w:rFonts w:ascii="黑体" w:hAnsi="黑体" w:eastAsia="黑体"/>
          <w:sz w:val="32"/>
        </w:rPr>
        <w:t>二、机构设置及人员情况</w:t>
      </w:r>
    </w:p>
    <w:p w14:paraId="0D13FD81">
      <w:pPr>
        <w:spacing w:line="580" w:lineRule="exact"/>
        <w:ind w:firstLine="640"/>
        <w:jc w:val="both"/>
      </w:pPr>
      <w:r>
        <w:rPr>
          <w:rFonts w:ascii="仿宋_GB2312" w:hAnsi="仿宋_GB2312" w:eastAsia="仿宋_GB2312"/>
          <w:sz w:val="32"/>
        </w:rPr>
        <w:t>阿图什市上阿图什镇依克萨克中学2024年度，实有人数102人，其中：在职人员86人，增加2人；离休人员0人，增加0人；退休人员16人</w:t>
      </w:r>
      <w:r>
        <w:rPr>
          <w:rFonts w:hint="eastAsia" w:ascii="仿宋_GB2312" w:hAnsi="仿宋_GB2312" w:eastAsia="仿宋_GB2312"/>
          <w:sz w:val="32"/>
          <w:lang w:eastAsia="zh-CN"/>
        </w:rPr>
        <w:t>，</w:t>
      </w:r>
      <w:r>
        <w:rPr>
          <w:rFonts w:ascii="仿宋_GB2312" w:hAnsi="仿宋_GB2312" w:eastAsia="仿宋_GB2312"/>
          <w:sz w:val="32"/>
        </w:rPr>
        <w:t>增加0人。</w:t>
      </w:r>
    </w:p>
    <w:p w14:paraId="6726F698">
      <w:pPr>
        <w:spacing w:line="580" w:lineRule="exact"/>
        <w:ind w:firstLine="640"/>
        <w:jc w:val="both"/>
      </w:pPr>
      <w:r>
        <w:rPr>
          <w:rFonts w:ascii="仿宋_GB2312" w:hAnsi="仿宋_GB2312" w:eastAsia="仿宋_GB2312"/>
          <w:sz w:val="32"/>
        </w:rPr>
        <w:t>阿图什市上阿图什镇依克萨克中学无下属预算单位，下设14个科室，分别是：办公室、教导处、校安办、党建室、财务室、德育室、微机室、物理功能室、化学功能室、生物功能室、地理功能室、综合实践功能室、美术功能室、体育功能室。</w:t>
      </w:r>
    </w:p>
    <w:p w14:paraId="3739B86D">
      <w:r>
        <w:br w:type="page"/>
      </w:r>
    </w:p>
    <w:p w14:paraId="1F8D003F">
      <w:pPr>
        <w:spacing w:line="240" w:lineRule="auto"/>
        <w:jc w:val="center"/>
        <w:outlineLvl w:val="1"/>
      </w:pPr>
      <w:r>
        <w:rPr>
          <w:rFonts w:ascii="黑体" w:hAnsi="黑体" w:eastAsia="黑体"/>
          <w:sz w:val="32"/>
        </w:rPr>
        <w:t>第二部分 部门决算情况说明</w:t>
      </w:r>
    </w:p>
    <w:p w14:paraId="2CEC248F">
      <w:pPr>
        <w:spacing w:line="640" w:lineRule="exact"/>
        <w:ind w:firstLine="640"/>
        <w:jc w:val="both"/>
        <w:outlineLvl w:val="2"/>
      </w:pPr>
      <w:r>
        <w:rPr>
          <w:rFonts w:ascii="黑体" w:hAnsi="黑体" w:eastAsia="黑体"/>
          <w:sz w:val="32"/>
        </w:rPr>
        <w:t>一、收入支出决算总体情况说明</w:t>
      </w:r>
    </w:p>
    <w:p w14:paraId="1CAC6F87">
      <w:pPr>
        <w:spacing w:line="580" w:lineRule="exact"/>
        <w:ind w:firstLine="640"/>
        <w:jc w:val="both"/>
      </w:pPr>
      <w:r>
        <w:rPr>
          <w:rFonts w:ascii="仿宋_GB2312" w:hAnsi="仿宋_GB2312" w:eastAsia="仿宋_GB2312"/>
          <w:b/>
          <w:sz w:val="32"/>
        </w:rPr>
        <w:t>2024年度收入总计1,743.54万元，</w:t>
      </w:r>
      <w:r>
        <w:rPr>
          <w:rFonts w:ascii="仿宋_GB2312" w:hAnsi="仿宋_GB2312" w:eastAsia="仿宋_GB2312"/>
          <w:b w:val="0"/>
          <w:sz w:val="32"/>
        </w:rPr>
        <w:t>其中：本年收入合计1,735.64万元，使用非财政拨款结余（含专用结余）0.00万元，年初结转和结余7.90万元。</w:t>
      </w:r>
    </w:p>
    <w:p w14:paraId="47896E49">
      <w:pPr>
        <w:spacing w:line="580" w:lineRule="exact"/>
        <w:ind w:firstLine="640"/>
        <w:jc w:val="both"/>
      </w:pPr>
      <w:r>
        <w:rPr>
          <w:rFonts w:ascii="仿宋_GB2312" w:hAnsi="仿宋_GB2312" w:eastAsia="仿宋_GB2312"/>
          <w:b/>
          <w:sz w:val="32"/>
        </w:rPr>
        <w:t>2024年度支出总计1,743.54万元，</w:t>
      </w:r>
      <w:r>
        <w:rPr>
          <w:rFonts w:ascii="仿宋_GB2312" w:hAnsi="仿宋_GB2312" w:eastAsia="仿宋_GB2312"/>
          <w:b w:val="0"/>
          <w:sz w:val="32"/>
        </w:rPr>
        <w:t>其中：本年支出合计1,736.83万元，结余分配0.00万元，年末结转和结余6.71万元。</w:t>
      </w:r>
    </w:p>
    <w:p w14:paraId="40EA2C4A">
      <w:pPr>
        <w:spacing w:line="580" w:lineRule="exact"/>
        <w:ind w:firstLine="640"/>
        <w:jc w:val="both"/>
      </w:pPr>
      <w:r>
        <w:rPr>
          <w:rFonts w:ascii="仿宋_GB2312" w:hAnsi="仿宋_GB2312" w:eastAsia="仿宋_GB2312"/>
          <w:b w:val="0"/>
          <w:sz w:val="32"/>
        </w:rPr>
        <w:t>收入支出总体与上年相比，增加71.53万元，增长4.28%，主要原因是：1.本年在职人员增加，工资调增，社保、公积金基数调增，人员经费增加。2.本年学生人数增加，城乡义务教育公用经费项目资金较上年增加。</w:t>
      </w:r>
    </w:p>
    <w:p w14:paraId="25F8E112">
      <w:pPr>
        <w:spacing w:line="640" w:lineRule="exact"/>
        <w:ind w:firstLine="640"/>
        <w:jc w:val="both"/>
        <w:outlineLvl w:val="2"/>
      </w:pPr>
      <w:r>
        <w:rPr>
          <w:rFonts w:ascii="黑体" w:hAnsi="黑体" w:eastAsia="黑体"/>
          <w:sz w:val="32"/>
        </w:rPr>
        <w:t>二、收入决算情况说明</w:t>
      </w:r>
    </w:p>
    <w:p w14:paraId="5CBF49AD">
      <w:pPr>
        <w:spacing w:line="580" w:lineRule="exact"/>
        <w:ind w:firstLine="640"/>
        <w:jc w:val="both"/>
      </w:pPr>
      <w:r>
        <w:rPr>
          <w:rFonts w:ascii="仿宋_GB2312" w:hAnsi="仿宋_GB2312" w:eastAsia="仿宋_GB2312"/>
          <w:b/>
          <w:sz w:val="32"/>
        </w:rPr>
        <w:t>本年收入1,735.64万元，</w:t>
      </w:r>
      <w:r>
        <w:rPr>
          <w:rFonts w:ascii="仿宋_GB2312" w:hAnsi="仿宋_GB2312" w:eastAsia="仿宋_GB2312"/>
          <w:b w:val="0"/>
          <w:sz w:val="32"/>
        </w:rPr>
        <w:t>其中：财政拨款收入1,735.53万元，占99.99%；上级补助收入0.00万元，占0.00%；事业收入0.00万元，占0.00%；经营收入0.00万元，占0.00%；附属单位上缴收入0.00万元，占0.00%；其他收入0.11万元，占0.006%。</w:t>
      </w:r>
    </w:p>
    <w:p w14:paraId="42086ACD">
      <w:pPr>
        <w:spacing w:line="640" w:lineRule="exact"/>
        <w:ind w:firstLine="640"/>
        <w:jc w:val="both"/>
        <w:outlineLvl w:val="2"/>
      </w:pPr>
      <w:r>
        <w:rPr>
          <w:rFonts w:ascii="黑体" w:hAnsi="黑体" w:eastAsia="黑体"/>
          <w:sz w:val="32"/>
        </w:rPr>
        <w:t>三、支出决算情况说明</w:t>
      </w:r>
    </w:p>
    <w:p w14:paraId="7A030B8A">
      <w:pPr>
        <w:spacing w:line="580" w:lineRule="exact"/>
        <w:ind w:firstLine="640"/>
        <w:jc w:val="both"/>
      </w:pPr>
      <w:r>
        <w:rPr>
          <w:rFonts w:ascii="仿宋_GB2312" w:hAnsi="仿宋_GB2312" w:eastAsia="仿宋_GB2312"/>
          <w:b/>
          <w:sz w:val="32"/>
        </w:rPr>
        <w:t>本年支出1,736.83万元，</w:t>
      </w:r>
      <w:r>
        <w:rPr>
          <w:rFonts w:ascii="仿宋_GB2312" w:hAnsi="仿宋_GB2312" w:eastAsia="仿宋_GB2312"/>
          <w:b w:val="0"/>
          <w:sz w:val="32"/>
        </w:rPr>
        <w:t>其中：基本支出1,578.31万元，占90.87%；项目支出158.52万元，占9.13%；上缴上级支出0.00万元，占0.00%；经营支出0.00万元，占0.00%；对附属单位补助支出0.00万元，占0.00%。</w:t>
      </w:r>
    </w:p>
    <w:p w14:paraId="65DC5FC6">
      <w:pPr>
        <w:spacing w:line="640" w:lineRule="exact"/>
        <w:ind w:firstLine="640"/>
        <w:jc w:val="both"/>
        <w:outlineLvl w:val="2"/>
      </w:pPr>
      <w:r>
        <w:rPr>
          <w:rFonts w:ascii="黑体" w:hAnsi="黑体" w:eastAsia="黑体"/>
          <w:sz w:val="32"/>
        </w:rPr>
        <w:t>四、财政拨款收入支出决算总体情况说明</w:t>
      </w:r>
    </w:p>
    <w:p w14:paraId="7AE0C5F2">
      <w:pPr>
        <w:spacing w:line="580" w:lineRule="exact"/>
        <w:ind w:firstLine="640"/>
        <w:jc w:val="both"/>
      </w:pPr>
      <w:r>
        <w:rPr>
          <w:rFonts w:ascii="仿宋_GB2312" w:hAnsi="仿宋_GB2312" w:eastAsia="仿宋_GB2312"/>
          <w:b/>
          <w:sz w:val="32"/>
        </w:rPr>
        <w:t>2024年度财政拨款收入总计1,735.53万元，</w:t>
      </w:r>
      <w:r>
        <w:rPr>
          <w:rFonts w:ascii="仿宋_GB2312" w:hAnsi="仿宋_GB2312" w:eastAsia="仿宋_GB2312"/>
          <w:b w:val="0"/>
          <w:sz w:val="32"/>
        </w:rPr>
        <w:t>其中：年初财政拨款结转和结余0.00万元，本年财政拨款收入1,735.53万元。</w:t>
      </w:r>
      <w:r>
        <w:rPr>
          <w:rFonts w:ascii="仿宋_GB2312" w:hAnsi="仿宋_GB2312" w:eastAsia="仿宋_GB2312"/>
          <w:b/>
          <w:sz w:val="32"/>
        </w:rPr>
        <w:t>财政拨款支出总计1,735.53万元，</w:t>
      </w:r>
      <w:r>
        <w:rPr>
          <w:rFonts w:ascii="仿宋_GB2312" w:hAnsi="仿宋_GB2312" w:eastAsia="仿宋_GB2312"/>
          <w:b w:val="0"/>
          <w:sz w:val="32"/>
        </w:rPr>
        <w:t>其中：年末财政拨款结转和结余0.00万元，本年财政拨款支出1,735.53万元。</w:t>
      </w:r>
    </w:p>
    <w:p w14:paraId="233FA8B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增加72.87万元，增长4.38%，主要原因是：1.本年在职人员增加，工资调增，社保、公积金基数调增，人员经费增加。2.本年学生人数增加，城乡义务教育公用经费项目资金较上年增加。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年初预算数1,601.48万元，决算数1,735.53万元，预决算差异率8.37%，主要原因是：本年在职人员增加，年中追加人员经费及人员工资、社保、公积金基数调增部分资金，导致预决算存在差异。</w:t>
      </w:r>
    </w:p>
    <w:p w14:paraId="118E1738">
      <w:pPr>
        <w:spacing w:line="640" w:lineRule="exact"/>
        <w:ind w:firstLine="640"/>
        <w:jc w:val="both"/>
        <w:outlineLvl w:val="2"/>
      </w:pPr>
      <w:r>
        <w:rPr>
          <w:rFonts w:ascii="黑体" w:hAnsi="黑体" w:eastAsia="黑体"/>
          <w:sz w:val="32"/>
        </w:rPr>
        <w:t>五、一般公共预算财政拨款支出决算情况说明</w:t>
      </w:r>
    </w:p>
    <w:p w14:paraId="35552715">
      <w:pPr>
        <w:spacing w:line="640" w:lineRule="exact"/>
        <w:ind w:firstLine="640"/>
        <w:jc w:val="both"/>
        <w:outlineLvl w:val="3"/>
      </w:pPr>
      <w:r>
        <w:rPr>
          <w:rFonts w:ascii="楷体_GB2312" w:hAnsi="楷体_GB2312" w:eastAsia="楷体_GB2312"/>
          <w:b/>
          <w:sz w:val="32"/>
        </w:rPr>
        <w:t>（一）一般公共预算财政拨款支出决算总体情况</w:t>
      </w:r>
    </w:p>
    <w:p w14:paraId="26017E20">
      <w:pPr>
        <w:spacing w:line="580" w:lineRule="exact"/>
        <w:ind w:firstLine="640"/>
        <w:jc w:val="both"/>
      </w:pPr>
      <w:r>
        <w:rPr>
          <w:rFonts w:ascii="仿宋_GB2312" w:hAnsi="仿宋_GB2312" w:eastAsia="仿宋_GB2312"/>
          <w:b/>
          <w:sz w:val="32"/>
        </w:rPr>
        <w:t>2024年度一般公共预算财政拨款支出1,735.53万元，</w:t>
      </w:r>
      <w:r>
        <w:rPr>
          <w:rFonts w:ascii="仿宋_GB2312" w:hAnsi="仿宋_GB2312" w:eastAsia="仿宋_GB2312"/>
          <w:b w:val="0"/>
          <w:sz w:val="32"/>
        </w:rPr>
        <w:t>占本年支出合计的99.93%。</w:t>
      </w:r>
      <w:r>
        <w:rPr>
          <w:rFonts w:ascii="仿宋_GB2312" w:hAnsi="仿宋_GB2312" w:eastAsia="仿宋_GB2312"/>
          <w:b/>
          <w:sz w:val="32"/>
        </w:rPr>
        <w:t>与上年相比，</w:t>
      </w:r>
      <w:r>
        <w:rPr>
          <w:rFonts w:ascii="仿宋_GB2312" w:hAnsi="仿宋_GB2312" w:eastAsia="仿宋_GB2312"/>
          <w:b w:val="0"/>
          <w:sz w:val="32"/>
        </w:rPr>
        <w:t>增加72.87万元，增长4.38%，主要原因是：1.本年在职人员增加，工资调增，社保、公积金基数调增，人员经费增加。2.本年学生人数增加，城乡义务教育公用经费项目资金较上年增加。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年初预算数1,601.48万元，决算数1,735.53万元，预决算差异率8.37%，主要原因是：本年在职人员增加，年中追加人员经费及人员工资、社保、公积金基数调增部分资金，导致预决算存在差异。</w:t>
      </w:r>
    </w:p>
    <w:p w14:paraId="18EE9C39">
      <w:pPr>
        <w:spacing w:line="640" w:lineRule="exact"/>
        <w:ind w:firstLine="640"/>
        <w:jc w:val="both"/>
        <w:outlineLvl w:val="3"/>
      </w:pPr>
      <w:r>
        <w:rPr>
          <w:rFonts w:ascii="楷体_GB2312" w:hAnsi="楷体_GB2312" w:eastAsia="楷体_GB2312"/>
          <w:b/>
          <w:sz w:val="32"/>
        </w:rPr>
        <w:t>（二）一般公共预算财政拨款支出决算结构情况</w:t>
      </w:r>
    </w:p>
    <w:p w14:paraId="52F1BBDE">
      <w:pPr>
        <w:spacing w:line="580" w:lineRule="exact"/>
        <w:ind w:firstLine="640"/>
        <w:jc w:val="both"/>
      </w:pPr>
      <w:r>
        <w:rPr>
          <w:rFonts w:ascii="仿宋_GB2312" w:hAnsi="仿宋_GB2312" w:eastAsia="仿宋_GB2312"/>
          <w:b w:val="0"/>
          <w:sz w:val="32"/>
        </w:rPr>
        <w:t>1.教育支出(类)1,735.53万元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5E711D36">
      <w:pPr>
        <w:spacing w:line="640" w:lineRule="exact"/>
        <w:ind w:firstLine="640"/>
        <w:jc w:val="both"/>
        <w:outlineLvl w:val="3"/>
      </w:pPr>
      <w:r>
        <w:rPr>
          <w:rFonts w:ascii="楷体_GB2312" w:hAnsi="楷体_GB2312" w:eastAsia="楷体_GB2312"/>
          <w:b/>
          <w:sz w:val="32"/>
        </w:rPr>
        <w:t>（三）一般公共预算财政拨款支出决算具体情况</w:t>
      </w:r>
    </w:p>
    <w:p w14:paraId="203CFA8A">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支出决算数为10.25万元，比上年决算增加10.25万元，增长100.00%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w:t>
      </w:r>
      <w:r>
        <w:rPr>
          <w:rFonts w:hint="eastAsia" w:ascii="仿宋_GB2312" w:hAnsi="仿宋_GB2312" w:eastAsia="仿宋_GB2312"/>
          <w:b w:val="0"/>
          <w:sz w:val="32"/>
          <w:lang w:eastAsia="zh-CN"/>
        </w:rPr>
        <w:t>加家</w:t>
      </w:r>
      <w:r>
        <w:rPr>
          <w:rFonts w:ascii="仿宋_GB2312" w:hAnsi="仿宋_GB2312" w:eastAsia="仿宋_GB2312"/>
          <w:b w:val="0"/>
          <w:sz w:val="32"/>
        </w:rPr>
        <w:t>庭经济困难学生补助项目资金，决算数较上年增长。</w:t>
      </w:r>
    </w:p>
    <w:p w14:paraId="49E14AD8">
      <w:pPr>
        <w:spacing w:line="580" w:lineRule="exact"/>
        <w:ind w:firstLine="640"/>
        <w:jc w:val="both"/>
      </w:pPr>
      <w:r>
        <w:rPr>
          <w:rFonts w:ascii="仿宋_GB2312" w:hAnsi="仿宋_GB2312" w:eastAsia="仿宋_GB2312"/>
          <w:b w:val="0"/>
          <w:sz w:val="32"/>
        </w:rPr>
        <w:t>2.教育支出(类)普通教育(款)初中教育(项)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支出决算数为1,688.64万元，比上年决算增加298.38万元，增长21.46%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主要原因是：本年机关事业单位基本养老保险缴费支出、住房公积金调整至初中教育款项填列，支出决算数较上年增长。</w:t>
      </w:r>
    </w:p>
    <w:p w14:paraId="1BD242B7">
      <w:pPr>
        <w:spacing w:line="580" w:lineRule="exact"/>
        <w:ind w:firstLine="640"/>
        <w:jc w:val="both"/>
      </w:pPr>
      <w:r>
        <w:rPr>
          <w:rFonts w:ascii="仿宋_GB2312" w:hAnsi="仿宋_GB2312" w:eastAsia="仿宋_GB2312"/>
          <w:b w:val="0"/>
          <w:sz w:val="32"/>
        </w:rPr>
        <w:t>3.教育支出(类)普通教育(款)高中教育(项)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支出决算数为27.61万元，比上年决算增加27.61万元，增长100.00%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主要原因是：本年补发的7-12月份基本工资由高中教育款项</w:t>
      </w:r>
      <w:r>
        <w:rPr>
          <w:rFonts w:hint="eastAsia" w:ascii="仿宋_GB2312" w:hAnsi="仿宋_GB2312" w:eastAsia="仿宋_GB2312"/>
          <w:b w:val="0"/>
          <w:sz w:val="32"/>
          <w:lang w:val="en-US" w:eastAsia="zh-CN"/>
        </w:rPr>
        <w:t>列支</w:t>
      </w:r>
      <w:r>
        <w:rPr>
          <w:rFonts w:ascii="仿宋_GB2312" w:hAnsi="仿宋_GB2312" w:eastAsia="仿宋_GB2312"/>
          <w:b w:val="0"/>
          <w:sz w:val="32"/>
        </w:rPr>
        <w:t>，高中教育支出决算数较上年增加。</w:t>
      </w:r>
    </w:p>
    <w:p w14:paraId="40131B23">
      <w:pPr>
        <w:spacing w:line="580" w:lineRule="exact"/>
        <w:ind w:firstLine="640"/>
        <w:jc w:val="both"/>
      </w:pPr>
      <w:r>
        <w:rPr>
          <w:rFonts w:ascii="仿宋_GB2312" w:hAnsi="仿宋_GB2312" w:eastAsia="仿宋_GB2312"/>
          <w:b w:val="0"/>
          <w:sz w:val="32"/>
        </w:rPr>
        <w:t>4.教育支出(类)教育费附加安排的支出(款)其他教育费附加安排的支出(项)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支出决算数为9.03万元，比上年决算增加9.03万元，增长100.00%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主要原因是：本年科目调整，学校取暖费项目资金由教育费附加安排的支出款项填列，上年由初中教育款项填列，其他教育费附加安排的支出决算数较上年增加。</w:t>
      </w:r>
    </w:p>
    <w:p w14:paraId="2BA7F25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支出决算数为0.00万元，比上年决算减少139.64万元，下降100.00%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7DFFF65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支出决算数为0.00万元，比上年决算减少14.05万元，下降100.00%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03146E57">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支出决算数为0.00万元，比上年决算减少118.72万元，下降100.00%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14:paraId="15B13B90">
      <w:pPr>
        <w:spacing w:line="640" w:lineRule="exact"/>
        <w:ind w:firstLine="640"/>
        <w:jc w:val="both"/>
        <w:outlineLvl w:val="2"/>
      </w:pPr>
      <w:r>
        <w:rPr>
          <w:rFonts w:ascii="黑体" w:hAnsi="黑体" w:eastAsia="黑体"/>
          <w:sz w:val="32"/>
        </w:rPr>
        <w:t>六、一般公共预算财政拨款基本支出决算情况说明</w:t>
      </w:r>
    </w:p>
    <w:p w14:paraId="1E3018E5">
      <w:pPr>
        <w:spacing w:line="580" w:lineRule="exact"/>
        <w:ind w:firstLine="640"/>
        <w:jc w:val="both"/>
      </w:pPr>
      <w:r>
        <w:rPr>
          <w:rFonts w:ascii="仿宋_GB2312" w:hAnsi="仿宋_GB2312" w:eastAsia="仿宋_GB2312"/>
          <w:b w:val="0"/>
          <w:sz w:val="32"/>
        </w:rPr>
        <w:t>2024年度一般公共预算财政拨款基本支出1,578.31万元，其中：</w:t>
      </w:r>
      <w:r>
        <w:rPr>
          <w:rFonts w:ascii="仿宋_GB2312" w:hAnsi="仿宋_GB2312" w:eastAsia="仿宋_GB2312"/>
          <w:b/>
          <w:sz w:val="32"/>
        </w:rPr>
        <w:t>人员经费1,578.31万元，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0204A80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599890D">
      <w:pPr>
        <w:spacing w:line="640" w:lineRule="exact"/>
        <w:ind w:firstLine="640"/>
        <w:jc w:val="both"/>
        <w:outlineLvl w:val="2"/>
      </w:pPr>
      <w:r>
        <w:rPr>
          <w:rFonts w:ascii="黑体" w:hAnsi="黑体" w:eastAsia="黑体"/>
          <w:sz w:val="32"/>
        </w:rPr>
        <w:t>七、政府性基金预算财政拨款收入支出决算情况说明</w:t>
      </w:r>
    </w:p>
    <w:p w14:paraId="3DD173D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F38157">
      <w:pPr>
        <w:spacing w:line="640" w:lineRule="exact"/>
        <w:ind w:firstLine="640"/>
        <w:jc w:val="both"/>
        <w:outlineLvl w:val="2"/>
      </w:pPr>
      <w:r>
        <w:rPr>
          <w:rFonts w:ascii="黑体" w:hAnsi="黑体" w:eastAsia="黑体"/>
          <w:sz w:val="32"/>
        </w:rPr>
        <w:t>八、国有资本经营预算财政拨款收入支出决算情况说明</w:t>
      </w:r>
    </w:p>
    <w:p w14:paraId="1825B8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EAB691">
      <w:pPr>
        <w:spacing w:line="640" w:lineRule="exact"/>
        <w:ind w:firstLine="640"/>
        <w:jc w:val="both"/>
        <w:outlineLvl w:val="2"/>
      </w:pPr>
      <w:r>
        <w:rPr>
          <w:rFonts w:ascii="黑体" w:hAnsi="黑体" w:eastAsia="黑体"/>
          <w:sz w:val="32"/>
        </w:rPr>
        <w:t>九、财政拨款“三公”经费支出决算情况说明</w:t>
      </w:r>
    </w:p>
    <w:p w14:paraId="73E7D87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A4D6A56">
      <w:pPr>
        <w:spacing w:line="580" w:lineRule="exact"/>
        <w:ind w:firstLine="640"/>
        <w:jc w:val="both"/>
      </w:pPr>
      <w:r>
        <w:rPr>
          <w:rFonts w:ascii="仿宋_GB2312" w:hAnsi="仿宋_GB2312" w:eastAsia="仿宋_GB2312"/>
          <w:b/>
          <w:sz w:val="32"/>
        </w:rPr>
        <w:t>具体情况如下：</w:t>
      </w:r>
    </w:p>
    <w:p w14:paraId="6661AE9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CF540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D470E7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451B3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CFFFC53">
      <w:pPr>
        <w:spacing w:line="640" w:lineRule="exact"/>
        <w:ind w:firstLine="640"/>
        <w:jc w:val="both"/>
        <w:outlineLvl w:val="2"/>
      </w:pPr>
      <w:r>
        <w:rPr>
          <w:rFonts w:ascii="黑体" w:hAnsi="黑体" w:eastAsia="黑体"/>
          <w:sz w:val="32"/>
        </w:rPr>
        <w:t>十、其他重要事项的情况说明</w:t>
      </w:r>
    </w:p>
    <w:p w14:paraId="6E337F69">
      <w:pPr>
        <w:spacing w:line="640" w:lineRule="exact"/>
        <w:ind w:firstLine="640"/>
        <w:jc w:val="both"/>
        <w:outlineLvl w:val="3"/>
      </w:pPr>
      <w:r>
        <w:rPr>
          <w:rFonts w:ascii="楷体_GB2312" w:hAnsi="楷体_GB2312" w:eastAsia="楷体_GB2312"/>
          <w:b/>
          <w:sz w:val="32"/>
        </w:rPr>
        <w:t>（一）机关运行经费及公用经费支出情况</w:t>
      </w:r>
    </w:p>
    <w:p w14:paraId="59C638CE">
      <w:pPr>
        <w:spacing w:line="580" w:lineRule="exact"/>
        <w:ind w:firstLine="640"/>
        <w:jc w:val="both"/>
      </w:pPr>
      <w:r>
        <w:rPr>
          <w:rFonts w:ascii="仿宋_GB2312" w:hAnsi="仿宋_GB2312" w:eastAsia="仿宋_GB2312"/>
          <w:b w:val="0"/>
          <w:sz w:val="32"/>
        </w:rPr>
        <w:t>2024年度阿图什市上阿图什镇依克萨克中学（事业单位）公用经费支出0.00万元，比上年减少12.22万元，下降100.00%，主要原因是：本年</w:t>
      </w:r>
      <w:r>
        <w:rPr>
          <w:rFonts w:hint="eastAsia" w:ascii="仿宋_GB2312" w:hAnsi="仿宋_GB2312" w:eastAsia="仿宋_GB2312"/>
          <w:b w:val="0"/>
          <w:sz w:val="32"/>
          <w:lang w:val="en-US" w:eastAsia="zh-CN"/>
        </w:rPr>
        <w:t>未安排财政拨款</w:t>
      </w:r>
      <w:r>
        <w:rPr>
          <w:rFonts w:ascii="仿宋_GB2312" w:hAnsi="仿宋_GB2312" w:eastAsia="仿宋_GB2312"/>
          <w:b w:val="0"/>
          <w:sz w:val="32"/>
        </w:rPr>
        <w:t>公用经费，相关支出减少。</w:t>
      </w:r>
    </w:p>
    <w:p w14:paraId="0E2BC2BC">
      <w:pPr>
        <w:spacing w:line="640" w:lineRule="exact"/>
        <w:ind w:firstLine="640"/>
        <w:jc w:val="both"/>
        <w:outlineLvl w:val="3"/>
      </w:pPr>
      <w:r>
        <w:rPr>
          <w:rFonts w:ascii="楷体_GB2312" w:hAnsi="楷体_GB2312" w:eastAsia="楷体_GB2312"/>
          <w:b/>
          <w:sz w:val="32"/>
        </w:rPr>
        <w:t>（二）政府采购情况</w:t>
      </w:r>
      <w:bookmarkStart w:id="0" w:name="_GoBack"/>
      <w:bookmarkEnd w:id="0"/>
    </w:p>
    <w:p w14:paraId="0A796B01">
      <w:pPr>
        <w:spacing w:line="580" w:lineRule="exact"/>
        <w:ind w:firstLine="640"/>
        <w:jc w:val="both"/>
      </w:pPr>
      <w:r>
        <w:rPr>
          <w:rFonts w:ascii="仿宋_GB2312" w:hAnsi="仿宋_GB2312" w:eastAsia="仿宋_GB2312"/>
          <w:b w:val="0"/>
          <w:sz w:val="32"/>
        </w:rPr>
        <w:t>2024年度政府采购支出总额47.11万元，其中：政府采购货物支出31.10万元、政府采购工程支出6.40万元、政府采购服务支出9.60万元。</w:t>
      </w:r>
    </w:p>
    <w:p w14:paraId="67414437">
      <w:pPr>
        <w:spacing w:line="580" w:lineRule="exact"/>
        <w:ind w:firstLine="640"/>
        <w:jc w:val="both"/>
      </w:pPr>
      <w:r>
        <w:rPr>
          <w:rFonts w:ascii="仿宋_GB2312" w:hAnsi="仿宋_GB2312" w:eastAsia="仿宋_GB2312"/>
          <w:b w:val="0"/>
          <w:sz w:val="32"/>
        </w:rPr>
        <w:t>授予中小企业合同金额28.20万元，占政府采购支出总额的59.86%，其中：授予小微企业合同金额21.70万元，占政府采购支出总额的46.06%。</w:t>
      </w:r>
    </w:p>
    <w:p w14:paraId="0C590BF7">
      <w:pPr>
        <w:spacing w:line="640" w:lineRule="exact"/>
        <w:ind w:firstLine="640"/>
        <w:jc w:val="both"/>
        <w:outlineLvl w:val="3"/>
      </w:pPr>
      <w:r>
        <w:rPr>
          <w:rFonts w:ascii="楷体_GB2312" w:hAnsi="楷体_GB2312" w:eastAsia="楷体_GB2312"/>
          <w:b/>
          <w:sz w:val="32"/>
        </w:rPr>
        <w:t>（三）国有资产占用情况说明</w:t>
      </w:r>
    </w:p>
    <w:p w14:paraId="556E1B67">
      <w:pPr>
        <w:spacing w:line="580" w:lineRule="exact"/>
        <w:ind w:firstLine="640"/>
        <w:jc w:val="both"/>
      </w:pPr>
      <w:r>
        <w:rPr>
          <w:rFonts w:ascii="仿宋_GB2312" w:hAnsi="仿宋_GB2312" w:eastAsia="仿宋_GB2312"/>
          <w:b w:val="0"/>
          <w:sz w:val="32"/>
        </w:rPr>
        <w:t>截至2024年12月31日，房屋1,448.86平方米，价值315.07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5EEB7FD">
      <w:pPr>
        <w:spacing w:line="640" w:lineRule="exact"/>
        <w:ind w:firstLine="640"/>
        <w:jc w:val="both"/>
        <w:outlineLvl w:val="2"/>
      </w:pPr>
      <w:r>
        <w:rPr>
          <w:rFonts w:ascii="黑体" w:hAnsi="黑体" w:eastAsia="黑体"/>
          <w:sz w:val="32"/>
        </w:rPr>
        <w:t>十一、预算绩效的情况说明</w:t>
      </w:r>
    </w:p>
    <w:p w14:paraId="1CB0FED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1,743.54万元，实际执行总额1,736.83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5884383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36EFE73">
        <w:tblPrEx>
          <w:tblCellMar>
            <w:top w:w="0" w:type="dxa"/>
            <w:left w:w="108" w:type="dxa"/>
            <w:bottom w:w="0" w:type="dxa"/>
            <w:right w:w="108" w:type="dxa"/>
          </w:tblCellMar>
        </w:tblPrEx>
        <w:tc>
          <w:tcPr>
            <w:tcW w:w="8840" w:type="dxa"/>
            <w:gridSpan w:val="8"/>
            <w:vAlign w:val="center"/>
          </w:tcPr>
          <w:p w14:paraId="2F7A6650">
            <w:pPr>
              <w:jc w:val="center"/>
            </w:pPr>
            <w:r>
              <w:rPr>
                <w:rFonts w:ascii="宋体" w:hAnsi="宋体" w:eastAsia="宋体"/>
                <w:sz w:val="24"/>
              </w:rPr>
              <w:t>单位整体支出绩效自评表</w:t>
            </w:r>
          </w:p>
        </w:tc>
      </w:tr>
      <w:tr w14:paraId="622D5B78">
        <w:tblPrEx>
          <w:tblCellMar>
            <w:top w:w="0" w:type="dxa"/>
            <w:left w:w="108" w:type="dxa"/>
            <w:bottom w:w="0" w:type="dxa"/>
            <w:right w:w="108" w:type="dxa"/>
          </w:tblCellMar>
        </w:tblPrEx>
        <w:tc>
          <w:tcPr>
            <w:tcW w:w="8840" w:type="dxa"/>
            <w:gridSpan w:val="8"/>
            <w:vAlign w:val="center"/>
          </w:tcPr>
          <w:p w14:paraId="04DDD8F0">
            <w:pPr>
              <w:jc w:val="center"/>
            </w:pPr>
            <w:r>
              <w:rPr>
                <w:rFonts w:ascii="宋体" w:hAnsi="宋体" w:eastAsia="宋体"/>
                <w:sz w:val="24"/>
              </w:rPr>
              <w:t>（2024年度）</w:t>
            </w:r>
          </w:p>
        </w:tc>
      </w:tr>
      <w:tr w14:paraId="71BD2B0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E1BC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10E52">
            <w:pPr>
              <w:jc w:val="center"/>
            </w:pPr>
            <w:r>
              <w:rPr>
                <w:rFonts w:ascii="宋体" w:hAnsi="宋体" w:eastAsia="宋体"/>
                <w:sz w:val="16"/>
              </w:rPr>
              <w:t>阿图什市上阿图什镇依克萨克中学</w:t>
            </w:r>
          </w:p>
        </w:tc>
      </w:tr>
      <w:tr w14:paraId="60E0D0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259C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90A7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9E85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BD16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B845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4690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F97B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E2B83">
            <w:pPr>
              <w:jc w:val="center"/>
            </w:pPr>
            <w:r>
              <w:rPr>
                <w:rFonts w:ascii="宋体" w:hAnsi="宋体" w:eastAsia="宋体"/>
                <w:sz w:val="16"/>
              </w:rPr>
              <w:t>得分</w:t>
            </w:r>
          </w:p>
        </w:tc>
      </w:tr>
      <w:tr w14:paraId="19FC32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BB0E5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EA68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DCBF3">
            <w:pPr>
              <w:jc w:val="center"/>
            </w:pPr>
            <w:r>
              <w:rPr>
                <w:rFonts w:ascii="宋体" w:hAnsi="宋体" w:eastAsia="宋体"/>
                <w:sz w:val="16"/>
              </w:rPr>
              <w:t>1,586.44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C8880">
            <w:pPr>
              <w:jc w:val="center"/>
            </w:pPr>
            <w:r>
              <w:rPr>
                <w:rFonts w:ascii="宋体" w:hAnsi="宋体" w:eastAsia="宋体"/>
                <w:sz w:val="16"/>
              </w:rPr>
              <w:t>1,743.54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FF8D8">
            <w:pPr>
              <w:jc w:val="center"/>
            </w:pPr>
            <w:r>
              <w:rPr>
                <w:rFonts w:ascii="宋体" w:hAnsi="宋体" w:eastAsia="宋体"/>
                <w:sz w:val="16"/>
              </w:rPr>
              <w:t>1,736.83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7339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48D4A">
            <w:pPr>
              <w:jc w:val="center"/>
            </w:pPr>
            <w:r>
              <w:rPr>
                <w:rFonts w:ascii="宋体" w:hAnsi="宋体" w:eastAsia="宋体"/>
                <w:sz w:val="16"/>
              </w:rPr>
              <w:t>99.62%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926DE">
            <w:pPr>
              <w:jc w:val="center"/>
              <w:rPr>
                <w:rFonts w:hint="default" w:eastAsia="宋体"/>
                <w:lang w:val="en-US" w:eastAsia="zh-CN"/>
              </w:rPr>
            </w:pPr>
            <w:r>
              <w:rPr>
                <w:rFonts w:hint="eastAsia" w:ascii="宋体" w:hAnsi="宋体"/>
                <w:sz w:val="16"/>
                <w:lang w:val="en-US" w:eastAsia="zh-CN"/>
              </w:rPr>
              <w:t>9.9</w:t>
            </w:r>
          </w:p>
        </w:tc>
      </w:tr>
      <w:tr w14:paraId="68942E5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C67E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0437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8D03D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49F4F">
            <w:pPr>
              <w:jc w:val="center"/>
            </w:pPr>
            <w:r>
              <w:rPr>
                <w:rFonts w:ascii="宋体" w:hAnsi="宋体" w:eastAsia="宋体"/>
                <w:sz w:val="16"/>
              </w:rPr>
              <w:t>148.19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C261A">
            <w:pPr>
              <w:jc w:val="center"/>
            </w:pPr>
            <w:r>
              <w:rPr>
                <w:rFonts w:ascii="宋体" w:hAnsi="宋体" w:eastAsia="宋体"/>
                <w:sz w:val="16"/>
              </w:rPr>
              <w:t>148.19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5136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A5F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EEC67">
            <w:pPr>
              <w:jc w:val="center"/>
            </w:pPr>
            <w:r>
              <w:rPr>
                <w:rFonts w:ascii="宋体" w:hAnsi="宋体" w:eastAsia="宋体"/>
                <w:sz w:val="16"/>
              </w:rPr>
              <w:t>—</w:t>
            </w:r>
          </w:p>
        </w:tc>
      </w:tr>
      <w:tr w14:paraId="325D7D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62E4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AE86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9164E">
            <w:pPr>
              <w:jc w:val="center"/>
            </w:pPr>
            <w:r>
              <w:rPr>
                <w:rFonts w:ascii="宋体" w:hAnsi="宋体" w:eastAsia="宋体"/>
                <w:sz w:val="16"/>
              </w:rPr>
              <w:t>1,586.44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219BE">
            <w:pPr>
              <w:jc w:val="center"/>
            </w:pPr>
            <w:r>
              <w:rPr>
                <w:rFonts w:ascii="宋体" w:hAnsi="宋体" w:eastAsia="宋体"/>
                <w:sz w:val="16"/>
              </w:rPr>
              <w:t>1,595.35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4762C">
            <w:pPr>
              <w:jc w:val="center"/>
            </w:pPr>
            <w:r>
              <w:rPr>
                <w:rFonts w:ascii="宋体" w:hAnsi="宋体" w:eastAsia="宋体"/>
                <w:sz w:val="16"/>
              </w:rPr>
              <w:t>1,588.64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3F8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D3E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B7F2F">
            <w:pPr>
              <w:jc w:val="center"/>
            </w:pPr>
            <w:r>
              <w:rPr>
                <w:rFonts w:ascii="宋体" w:hAnsi="宋体" w:eastAsia="宋体"/>
                <w:sz w:val="16"/>
              </w:rPr>
              <w:t>—</w:t>
            </w:r>
          </w:p>
        </w:tc>
      </w:tr>
      <w:tr w14:paraId="72A115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A921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DB27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FF65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0C6A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5C2F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3AB6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E98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D713C">
            <w:pPr>
              <w:jc w:val="center"/>
            </w:pPr>
            <w:r>
              <w:rPr>
                <w:rFonts w:ascii="宋体" w:hAnsi="宋体" w:eastAsia="宋体"/>
                <w:sz w:val="16"/>
              </w:rPr>
              <w:t>—</w:t>
            </w:r>
          </w:p>
        </w:tc>
      </w:tr>
      <w:tr w14:paraId="03C24D5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28FD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45392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A465A5">
            <w:pPr>
              <w:jc w:val="center"/>
            </w:pPr>
            <w:r>
              <w:rPr>
                <w:rFonts w:ascii="宋体" w:hAnsi="宋体" w:eastAsia="宋体"/>
                <w:sz w:val="16"/>
              </w:rPr>
              <w:t>实际完成情况</w:t>
            </w:r>
          </w:p>
        </w:tc>
      </w:tr>
      <w:tr w14:paraId="3098DE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B6B3D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7FFB3C">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机构设置及人员配置：无下属预算单位，下设13个科室，编制数88，实有人数102人，在职86人，退休16人。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86人，退休16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C5C45F">
            <w:pPr>
              <w:jc w:val="both"/>
            </w:pPr>
            <w:r>
              <w:rPr>
                <w:rFonts w:ascii="宋体" w:hAnsi="宋体" w:eastAsia="宋体"/>
                <w:sz w:val="16"/>
              </w:rPr>
              <w:t xml:space="preserve">本单位共计支出1736.83万元，用于保障部门在职86人，退休16人的工资福利、各项补助正常发放及部门单位正常运转，单位预算项目根据年初计划均已完成，保障单位预算项目按计划实施，便于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12场，教师培训人数28人，保障单位日常运转期限12个月等目标。 </w:t>
            </w:r>
          </w:p>
        </w:tc>
      </w:tr>
      <w:tr w14:paraId="654D9E7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7241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C950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68B8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4C33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D705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EB3D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6A8C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EB6FA">
            <w:pPr>
              <w:jc w:val="center"/>
            </w:pPr>
            <w:r>
              <w:rPr>
                <w:rFonts w:ascii="宋体" w:hAnsi="宋体" w:eastAsia="宋体"/>
                <w:sz w:val="16"/>
              </w:rPr>
              <w:t>得分</w:t>
            </w:r>
          </w:p>
        </w:tc>
      </w:tr>
      <w:tr w14:paraId="004843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2905D">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5513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45BA4">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A4C98">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B3E2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698B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E1711">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93EF2">
            <w:pPr>
              <w:jc w:val="center"/>
            </w:pPr>
            <w:r>
              <w:rPr>
                <w:rFonts w:ascii="宋体" w:hAnsi="宋体" w:eastAsia="宋体"/>
                <w:sz w:val="16"/>
              </w:rPr>
              <w:t>18</w:t>
            </w:r>
          </w:p>
        </w:tc>
      </w:tr>
      <w:tr w14:paraId="485EDE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AD0B9">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5033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A8D01">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8BA9C">
            <w:pPr>
              <w:jc w:val="center"/>
            </w:pPr>
            <w:r>
              <w:rPr>
                <w:rFonts w:ascii="宋体" w:hAnsi="宋体" w:eastAsia="宋体"/>
                <w:sz w:val="16"/>
              </w:rPr>
              <w:t>&gt;=28人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B3351">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3831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BCFBB">
            <w:pPr>
              <w:jc w:val="center"/>
            </w:pPr>
            <w:r>
              <w:rPr>
                <w:rFonts w:ascii="宋体" w:hAnsi="宋体" w:eastAsia="宋体"/>
                <w:sz w:val="16"/>
              </w:rPr>
              <w:t>28人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64CA4">
            <w:pPr>
              <w:jc w:val="center"/>
            </w:pPr>
            <w:r>
              <w:rPr>
                <w:rFonts w:ascii="宋体" w:hAnsi="宋体" w:eastAsia="宋体"/>
                <w:sz w:val="16"/>
              </w:rPr>
              <w:t>18</w:t>
            </w:r>
          </w:p>
        </w:tc>
      </w:tr>
      <w:tr w14:paraId="3049E4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5B0C5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3E0F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952D3">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68EEA">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9F70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5130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AA2AA">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FF3CA">
            <w:pPr>
              <w:jc w:val="center"/>
            </w:pPr>
            <w:r>
              <w:rPr>
                <w:rFonts w:ascii="宋体" w:hAnsi="宋体" w:eastAsia="宋体"/>
                <w:sz w:val="16"/>
              </w:rPr>
              <w:t>18</w:t>
            </w:r>
          </w:p>
        </w:tc>
      </w:tr>
      <w:tr w14:paraId="529F97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AEEC8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353D0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21D75">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70AF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9F1CF">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48ED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AC36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93FA0">
            <w:pPr>
              <w:jc w:val="center"/>
            </w:pPr>
            <w:r>
              <w:rPr>
                <w:rFonts w:ascii="宋体" w:hAnsi="宋体" w:eastAsia="宋体"/>
                <w:sz w:val="16"/>
              </w:rPr>
              <w:t>18</w:t>
            </w:r>
          </w:p>
        </w:tc>
      </w:tr>
      <w:tr w14:paraId="1491C2B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1961F">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A1DE4">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1F73C">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0EED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3124F">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8614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684B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94A0D">
            <w:pPr>
              <w:jc w:val="center"/>
            </w:pPr>
            <w:r>
              <w:rPr>
                <w:rFonts w:ascii="宋体" w:hAnsi="宋体" w:eastAsia="宋体"/>
                <w:sz w:val="16"/>
              </w:rPr>
              <w:t>18</w:t>
            </w:r>
          </w:p>
        </w:tc>
      </w:tr>
    </w:tbl>
    <w:p w14:paraId="1BF3ECFB">
      <w:r>
        <w:br w:type="page"/>
      </w:r>
    </w:p>
    <w:p w14:paraId="77D3B165">
      <w:pPr>
        <w:spacing w:line="640" w:lineRule="exact"/>
        <w:ind w:firstLine="640"/>
        <w:jc w:val="both"/>
        <w:outlineLvl w:val="2"/>
      </w:pPr>
      <w:r>
        <w:rPr>
          <w:rFonts w:ascii="黑体" w:hAnsi="黑体" w:eastAsia="黑体"/>
          <w:sz w:val="32"/>
        </w:rPr>
        <w:t>十二、其他需说明的事项</w:t>
      </w:r>
    </w:p>
    <w:p w14:paraId="4E8691DB">
      <w:pPr>
        <w:spacing w:line="580" w:lineRule="exact"/>
        <w:ind w:firstLine="640"/>
        <w:jc w:val="both"/>
      </w:pPr>
      <w:r>
        <w:rPr>
          <w:rFonts w:ascii="仿宋_GB2312" w:hAnsi="仿宋_GB2312" w:eastAsia="仿宋_GB2312"/>
          <w:b w:val="0"/>
          <w:sz w:val="32"/>
        </w:rPr>
        <w:t>本单位无其他需说明的事项。</w:t>
      </w:r>
    </w:p>
    <w:p w14:paraId="2961704F">
      <w:r>
        <w:br w:type="page"/>
      </w:r>
    </w:p>
    <w:p w14:paraId="6CE0C7B6">
      <w:pPr>
        <w:spacing w:line="240" w:lineRule="auto"/>
        <w:jc w:val="center"/>
        <w:outlineLvl w:val="1"/>
      </w:pPr>
      <w:r>
        <w:rPr>
          <w:rFonts w:ascii="黑体" w:hAnsi="黑体" w:eastAsia="黑体"/>
          <w:sz w:val="32"/>
        </w:rPr>
        <w:t>第三部分 专业名词解释</w:t>
      </w:r>
    </w:p>
    <w:p w14:paraId="2DF911D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78024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50B31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8720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389A5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1110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9BFBD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D067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DCA0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101A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280A9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3166D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DF21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EB96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3C125C">
      <w:r>
        <w:br w:type="page"/>
      </w:r>
    </w:p>
    <w:p w14:paraId="46648D0F">
      <w:pPr>
        <w:spacing w:line="240" w:lineRule="auto"/>
        <w:jc w:val="center"/>
        <w:outlineLvl w:val="1"/>
      </w:pPr>
      <w:r>
        <w:rPr>
          <w:rFonts w:ascii="黑体" w:hAnsi="黑体" w:eastAsia="黑体"/>
          <w:sz w:val="32"/>
        </w:rPr>
        <w:t>第四部分 部门决算报表（见附表）</w:t>
      </w:r>
    </w:p>
    <w:p w14:paraId="766491BB">
      <w:pPr>
        <w:spacing w:line="240" w:lineRule="auto"/>
        <w:ind w:firstLine="640"/>
        <w:jc w:val="both"/>
      </w:pPr>
      <w:r>
        <w:rPr>
          <w:rFonts w:ascii="仿宋_GB2312" w:hAnsi="仿宋_GB2312" w:eastAsia="仿宋_GB2312"/>
          <w:b w:val="0"/>
          <w:sz w:val="32"/>
        </w:rPr>
        <w:t>一、《收入支出决算总表》</w:t>
      </w:r>
    </w:p>
    <w:p w14:paraId="0BC7B6CC">
      <w:pPr>
        <w:spacing w:line="240" w:lineRule="auto"/>
        <w:ind w:firstLine="640"/>
        <w:jc w:val="both"/>
      </w:pPr>
      <w:r>
        <w:rPr>
          <w:rFonts w:ascii="仿宋_GB2312" w:hAnsi="仿宋_GB2312" w:eastAsia="仿宋_GB2312"/>
          <w:b w:val="0"/>
          <w:sz w:val="32"/>
        </w:rPr>
        <w:t>二、《收入决算表》</w:t>
      </w:r>
    </w:p>
    <w:p w14:paraId="2815D0F8">
      <w:pPr>
        <w:spacing w:line="240" w:lineRule="auto"/>
        <w:ind w:firstLine="640"/>
        <w:jc w:val="both"/>
      </w:pPr>
      <w:r>
        <w:rPr>
          <w:rFonts w:ascii="仿宋_GB2312" w:hAnsi="仿宋_GB2312" w:eastAsia="仿宋_GB2312"/>
          <w:b w:val="0"/>
          <w:sz w:val="32"/>
        </w:rPr>
        <w:t>三、《支出决算表》</w:t>
      </w:r>
    </w:p>
    <w:p w14:paraId="69E919AD">
      <w:pPr>
        <w:spacing w:line="240" w:lineRule="auto"/>
        <w:ind w:firstLine="640"/>
        <w:jc w:val="both"/>
      </w:pPr>
      <w:r>
        <w:rPr>
          <w:rFonts w:ascii="仿宋_GB2312" w:hAnsi="仿宋_GB2312" w:eastAsia="仿宋_GB2312"/>
          <w:b w:val="0"/>
          <w:sz w:val="32"/>
        </w:rPr>
        <w:t>四、《财政拨款收入支出决算总表》</w:t>
      </w:r>
    </w:p>
    <w:p w14:paraId="48BD1622">
      <w:pPr>
        <w:spacing w:line="240" w:lineRule="auto"/>
        <w:ind w:firstLine="640"/>
        <w:jc w:val="both"/>
      </w:pPr>
      <w:r>
        <w:rPr>
          <w:rFonts w:ascii="仿宋_GB2312" w:hAnsi="仿宋_GB2312" w:eastAsia="仿宋_GB2312"/>
          <w:b w:val="0"/>
          <w:sz w:val="32"/>
        </w:rPr>
        <w:t>五、《一般公共预算财政拨款支出决算表》</w:t>
      </w:r>
    </w:p>
    <w:p w14:paraId="14A002DF">
      <w:pPr>
        <w:spacing w:line="240" w:lineRule="auto"/>
        <w:ind w:firstLine="640"/>
        <w:jc w:val="both"/>
      </w:pPr>
      <w:r>
        <w:rPr>
          <w:rFonts w:ascii="仿宋_GB2312" w:hAnsi="仿宋_GB2312" w:eastAsia="仿宋_GB2312"/>
          <w:b w:val="0"/>
          <w:sz w:val="32"/>
        </w:rPr>
        <w:t>六、《一般公共预算财政拨款基本支出决算表》</w:t>
      </w:r>
    </w:p>
    <w:p w14:paraId="77DB84DD">
      <w:pPr>
        <w:spacing w:line="240" w:lineRule="auto"/>
        <w:ind w:firstLine="640"/>
        <w:jc w:val="both"/>
      </w:pPr>
      <w:r>
        <w:rPr>
          <w:rFonts w:ascii="仿宋_GB2312" w:hAnsi="仿宋_GB2312" w:eastAsia="仿宋_GB2312"/>
          <w:b w:val="0"/>
          <w:sz w:val="32"/>
        </w:rPr>
        <w:t>七、《政府性基金预算财政拨款收入支出决算表》</w:t>
      </w:r>
    </w:p>
    <w:p w14:paraId="65C97F09">
      <w:pPr>
        <w:spacing w:line="240" w:lineRule="auto"/>
        <w:ind w:firstLine="640"/>
        <w:jc w:val="both"/>
      </w:pPr>
      <w:r>
        <w:rPr>
          <w:rFonts w:ascii="仿宋_GB2312" w:hAnsi="仿宋_GB2312" w:eastAsia="仿宋_GB2312"/>
          <w:b w:val="0"/>
          <w:sz w:val="32"/>
        </w:rPr>
        <w:t>八、《国有资本经营预算财政拨款收入支出决算表》</w:t>
      </w:r>
    </w:p>
    <w:p w14:paraId="2DFC1DD6">
      <w:pPr>
        <w:spacing w:line="240" w:lineRule="auto"/>
        <w:ind w:firstLine="640"/>
        <w:jc w:val="both"/>
      </w:pPr>
      <w:r>
        <w:rPr>
          <w:rFonts w:ascii="仿宋_GB2312" w:hAnsi="仿宋_GB2312" w:eastAsia="仿宋_GB2312"/>
          <w:b w:val="0"/>
          <w:sz w:val="32"/>
        </w:rPr>
        <w:t>九、《财政拨款“三公”经费支出决算表》</w:t>
      </w:r>
    </w:p>
    <w:p w14:paraId="1A7075BD">
      <w:pPr>
        <w:spacing w:line="240" w:lineRule="auto"/>
        <w:ind w:firstLine="640"/>
        <w:jc w:val="both"/>
      </w:pPr>
    </w:p>
    <w:p w14:paraId="6BF219EC">
      <w:pPr>
        <w:spacing w:line="240" w:lineRule="auto"/>
        <w:ind w:firstLine="640"/>
        <w:jc w:val="both"/>
      </w:pPr>
    </w:p>
    <w:p w14:paraId="26ACA0B0">
      <w:pPr>
        <w:spacing w:line="240" w:lineRule="auto"/>
        <w:ind w:firstLine="640"/>
        <w:jc w:val="both"/>
      </w:pPr>
    </w:p>
    <w:p w14:paraId="4C3E92D9">
      <w:pPr>
        <w:spacing w:line="240" w:lineRule="auto"/>
        <w:ind w:firstLine="640"/>
        <w:jc w:val="both"/>
      </w:pPr>
    </w:p>
    <w:p w14:paraId="509513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4737D1"/>
    <w:rsid w:val="55DA564E"/>
    <w:rsid w:val="56E07045"/>
    <w:rsid w:val="583059FA"/>
    <w:rsid w:val="587E6212"/>
    <w:rsid w:val="5AFC6609"/>
    <w:rsid w:val="5FA17648"/>
    <w:rsid w:val="5FD320BD"/>
    <w:rsid w:val="60DE4D57"/>
    <w:rsid w:val="613409CB"/>
    <w:rsid w:val="61A46A97"/>
    <w:rsid w:val="623956BC"/>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4274</Words>
  <Characters>4939</Characters>
  <Lines>0</Lines>
  <Paragraphs>0</Paragraphs>
  <TotalTime>2</TotalTime>
  <ScaleCrop>false</ScaleCrop>
  <LinksUpToDate>false</LinksUpToDate>
  <CharactersWithSpaces>4947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2025-09-08T09:39:38Z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