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阿图什市格达良乡中心学校</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思想品德教育，使学生的德智体全面发展；抓好教师队伍建设，使每个教师都热心于教育事业；做好安全防范，保证学生的人身安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阿图什市格达良乡中心学校2024年度，实有人数420人，其中：在职人员337人，减少65人；离休人员0人，增加0人；退休人员83人</w:t>
      </w:r>
      <w:r>
        <w:rPr>
          <w:rFonts w:hint="eastAsia" w:ascii="仿宋_GB2312" w:hAnsi="仿宋_GB2312" w:eastAsia="仿宋_GB2312"/>
          <w:sz w:val="32"/>
          <w:lang w:eastAsia="zh-CN"/>
        </w:rPr>
        <w:t>，</w:t>
      </w:r>
      <w:r>
        <w:rPr>
          <w:rFonts w:ascii="仿宋_GB2312" w:hAnsi="仿宋_GB2312" w:eastAsia="仿宋_GB2312"/>
          <w:sz w:val="32"/>
        </w:rPr>
        <w:t>增加3人。</w:t>
      </w:r>
    </w:p>
    <w:p>
      <w:pPr>
        <w:spacing w:line="580" w:lineRule="exact"/>
        <w:ind w:firstLine="640"/>
        <w:jc w:val="both"/>
      </w:pPr>
      <w:r>
        <w:rPr>
          <w:rFonts w:ascii="仿宋_GB2312" w:hAnsi="仿宋_GB2312" w:eastAsia="仿宋_GB2312"/>
          <w:sz w:val="32"/>
        </w:rPr>
        <w:t>阿图什市格达良乡中心学校无下属预算单位，下设6个科室，分别是：办公室、财务室、教研室、校安办、党建室、德育处。</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2024年度收入总计7,504.23万元，</w:t>
      </w:r>
      <w:r>
        <w:rPr>
          <w:rFonts w:ascii="仿宋_GB2312" w:hAnsi="仿宋_GB2312" w:eastAsia="仿宋_GB2312"/>
          <w:b w:val="0"/>
          <w:sz w:val="32"/>
        </w:rPr>
        <w:t>其中：本年收入合计7,316.72万元，使用非财政拨款结余（含专用结余）0.00万元，年初结转和结余187.51万元。</w:t>
      </w:r>
    </w:p>
    <w:p>
      <w:pPr>
        <w:spacing w:line="580" w:lineRule="exact"/>
        <w:ind w:firstLine="640"/>
        <w:jc w:val="both"/>
      </w:pPr>
      <w:r>
        <w:rPr>
          <w:rFonts w:ascii="仿宋_GB2312" w:hAnsi="仿宋_GB2312" w:eastAsia="仿宋_GB2312"/>
          <w:b/>
          <w:sz w:val="32"/>
        </w:rPr>
        <w:t>2024年度支出总计7,504.23万元，</w:t>
      </w:r>
      <w:r>
        <w:rPr>
          <w:rFonts w:ascii="仿宋_GB2312" w:hAnsi="仿宋_GB2312" w:eastAsia="仿宋_GB2312"/>
          <w:b w:val="0"/>
          <w:sz w:val="32"/>
        </w:rPr>
        <w:t>其中：本年支出合计7,366.89万元，结余分配0.00万元，年末结转和结余137.34万元。</w:t>
      </w:r>
    </w:p>
    <w:p>
      <w:pPr>
        <w:spacing w:line="580" w:lineRule="exact"/>
        <w:ind w:firstLine="640"/>
        <w:jc w:val="both"/>
      </w:pPr>
      <w:r>
        <w:rPr>
          <w:rFonts w:ascii="仿宋_GB2312" w:hAnsi="仿宋_GB2312" w:eastAsia="仿宋_GB2312"/>
          <w:b w:val="0"/>
          <w:sz w:val="32"/>
        </w:rPr>
        <w:t>收入支出总体与上年相比，减少70.77万元，下降0.93%，主要原因是：本年在职人员减少，相关人员经费较上年减少。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本年收入7,316.72万元，</w:t>
      </w:r>
      <w:r>
        <w:rPr>
          <w:rFonts w:ascii="仿宋_GB2312" w:hAnsi="仿宋_GB2312" w:eastAsia="仿宋_GB2312"/>
          <w:b w:val="0"/>
          <w:sz w:val="32"/>
        </w:rPr>
        <w:t>其中：财政拨款收入7,309.98万元，占99.91%；上级补助收入0.00万元，占0.00%；事业收入0.00万元，占0.00%；经营收入0.00万元，占0.00%；附属单位上缴收入0.00万元，占0.00%；其他收入6.74万元，占0.09%。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本年支出7,366.89万元，</w:t>
      </w:r>
      <w:r>
        <w:rPr>
          <w:rFonts w:ascii="仿宋_GB2312" w:hAnsi="仿宋_GB2312" w:eastAsia="仿宋_GB2312"/>
          <w:b w:val="0"/>
          <w:sz w:val="32"/>
        </w:rPr>
        <w:t>其中：基本支出6,502.98万元，占88.27%；项目支出863.91万元，占11.73%；上缴上级支出0.00万元，占0.00%；经营支出0.00万元，占0.00%；对附属单位补助支出0.00万元，占0.00%。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2024年度财政拨款收入总计7,309.98万元，</w:t>
      </w:r>
      <w:r>
        <w:rPr>
          <w:rFonts w:ascii="仿宋_GB2312" w:hAnsi="仿宋_GB2312" w:eastAsia="仿宋_GB2312"/>
          <w:b w:val="0"/>
          <w:sz w:val="32"/>
        </w:rPr>
        <w:t>其中：年初财政拨款结转和结余0.00万元，本年财政拨款收入7,309.98万元。</w:t>
      </w:r>
      <w:r>
        <w:rPr>
          <w:rFonts w:ascii="仿宋_GB2312" w:hAnsi="仿宋_GB2312" w:eastAsia="仿宋_GB2312"/>
          <w:b/>
          <w:sz w:val="32"/>
        </w:rPr>
        <w:t>财政拨款支出总计7,309.98万元，</w:t>
      </w:r>
      <w:r>
        <w:rPr>
          <w:rFonts w:ascii="仿宋_GB2312" w:hAnsi="仿宋_GB2312" w:eastAsia="仿宋_GB2312"/>
          <w:b w:val="0"/>
          <w:sz w:val="32"/>
        </w:rPr>
        <w:t>其中：年末财政拨款结转和结余0.00万元，本年财政拨款支出7,309.98万元。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减少38.99万元，下降0.53%，主要原因是：本年在职人员减少，相关人员经费较上年减少。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年初预算数6,937.89万元，决算数7,309.98万元，预决算差异率5.36%，主要原因是：年中追加城乡教育补助经费等，导致预决算存在差异。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2024年度一般公共预算财政拨款支出7,308.48万元，</w:t>
      </w:r>
      <w:r>
        <w:rPr>
          <w:rFonts w:ascii="仿宋_GB2312" w:hAnsi="仿宋_GB2312" w:eastAsia="仿宋_GB2312"/>
          <w:b w:val="0"/>
          <w:sz w:val="32"/>
        </w:rPr>
        <w:t>占本年支出合计的99.21%。</w:t>
      </w:r>
      <w:r>
        <w:rPr>
          <w:rFonts w:ascii="仿宋_GB2312" w:hAnsi="仿宋_GB2312" w:eastAsia="仿宋_GB2312"/>
          <w:b/>
          <w:sz w:val="32"/>
        </w:rPr>
        <w:t>与上年相比，</w:t>
      </w:r>
      <w:r>
        <w:rPr>
          <w:rFonts w:ascii="仿宋_GB2312" w:hAnsi="仿宋_GB2312" w:eastAsia="仿宋_GB2312"/>
          <w:b w:val="0"/>
          <w:sz w:val="32"/>
        </w:rPr>
        <w:t>减少37.49万元，下降0.51%，主要原因是：本年在职人员减少，相关人员经费较上年减少。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年初预算数6,936.39万元，决算数7,308.48万元，预决算差异率5.36%，主要原因是：年中追加城乡教育补助经费等，导致预决算存在差异。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1.教育支出(类)7,263.86万元</w:t>
      </w:r>
      <w:r>
        <w:rPr>
          <w:rFonts w:hint="eastAsia" w:ascii="仿宋_GB2312" w:hAnsi="仿宋_GB2312" w:eastAsia="仿宋_GB2312"/>
          <w:b w:val="0"/>
          <w:sz w:val="32"/>
          <w:lang w:eastAsia="zh-CN"/>
        </w:rPr>
        <w:t>，</w:t>
      </w:r>
      <w:r>
        <w:rPr>
          <w:rFonts w:ascii="仿宋_GB2312" w:hAnsi="仿宋_GB2312" w:eastAsia="仿宋_GB2312"/>
          <w:b w:val="0"/>
          <w:sz w:val="32"/>
        </w:rPr>
        <w:t>占99.39%。</w:t>
      </w:r>
    </w:p>
    <w:p>
      <w:pPr>
        <w:spacing w:line="580" w:lineRule="exact"/>
        <w:ind w:firstLine="640"/>
        <w:jc w:val="both"/>
      </w:pPr>
      <w:r>
        <w:rPr>
          <w:rFonts w:ascii="仿宋_GB2312" w:hAnsi="仿宋_GB2312" w:eastAsia="仿宋_GB2312"/>
          <w:b w:val="0"/>
          <w:sz w:val="32"/>
        </w:rPr>
        <w:t>2.社会保障和就业支出(类)44.62万元</w:t>
      </w:r>
      <w:r>
        <w:rPr>
          <w:rFonts w:hint="eastAsia" w:ascii="仿宋_GB2312" w:hAnsi="仿宋_GB2312" w:eastAsia="仿宋_GB2312"/>
          <w:b w:val="0"/>
          <w:sz w:val="32"/>
          <w:lang w:eastAsia="zh-CN"/>
        </w:rPr>
        <w:t>，</w:t>
      </w:r>
      <w:r>
        <w:rPr>
          <w:rFonts w:ascii="仿宋_GB2312" w:hAnsi="仿宋_GB2312" w:eastAsia="仿宋_GB2312"/>
          <w:b w:val="0"/>
          <w:sz w:val="32"/>
        </w:rPr>
        <w:t>占0.61%。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支出决算数为44.04万元，比上年决算减少21.59万元，下降32.90%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主要原因是：本年功能科目调整，部分人员及公用经费上年在学前教育科目列支，本年调整至小学教育科目列支，导致相关经费减少。</w:t>
      </w:r>
    </w:p>
    <w:p>
      <w:pPr>
        <w:spacing w:line="580" w:lineRule="exact"/>
        <w:ind w:firstLine="640"/>
        <w:jc w:val="both"/>
      </w:pPr>
      <w:r>
        <w:rPr>
          <w:rFonts w:ascii="仿宋_GB2312" w:hAnsi="仿宋_GB2312" w:eastAsia="仿宋_GB2312"/>
          <w:b w:val="0"/>
          <w:sz w:val="32"/>
        </w:rPr>
        <w:t>2.教育支出(类)普通教育(款)小学教育(项)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支出决算数为6,499.44万元，比上年决算增加1,278.23万元，增长24.48%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主要原因是：本年功能科目调整，住房公积金、死亡抚恤金、</w:t>
      </w:r>
      <w:r>
        <w:rPr>
          <w:rFonts w:hint="eastAsia" w:ascii="仿宋_GB2312" w:hAnsi="仿宋_GB2312" w:eastAsia="仿宋_GB2312"/>
          <w:b w:val="0"/>
          <w:sz w:val="32"/>
          <w:lang w:val="en-US" w:eastAsia="zh-CN"/>
        </w:rPr>
        <w:t>养老保险</w:t>
      </w:r>
      <w:r>
        <w:rPr>
          <w:rFonts w:ascii="仿宋_GB2312" w:hAnsi="仿宋_GB2312" w:eastAsia="仿宋_GB2312"/>
          <w:b w:val="0"/>
          <w:sz w:val="32"/>
        </w:rPr>
        <w:t>等上年度单独列支，本年调整至主科目列支，导致经费较上年增加。</w:t>
      </w:r>
    </w:p>
    <w:p>
      <w:pPr>
        <w:spacing w:line="580" w:lineRule="exact"/>
        <w:ind w:firstLine="640"/>
        <w:jc w:val="both"/>
      </w:pPr>
      <w:r>
        <w:rPr>
          <w:rFonts w:ascii="仿宋_GB2312" w:hAnsi="仿宋_GB2312" w:eastAsia="仿宋_GB2312"/>
          <w:b w:val="0"/>
          <w:sz w:val="32"/>
        </w:rPr>
        <w:t>3.教育支出(类)普通教育(款)初中教育(项)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支出决算数为712.23万元，比上年决算减少183.89万元，下降20.52%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主要原因是：本年在职人员减少，工资等相关人员经费减少。</w:t>
      </w:r>
    </w:p>
    <w:p>
      <w:pPr>
        <w:spacing w:line="580" w:lineRule="exact"/>
        <w:ind w:firstLine="640"/>
        <w:jc w:val="both"/>
      </w:pPr>
      <w:r>
        <w:rPr>
          <w:rFonts w:ascii="仿宋_GB2312" w:hAnsi="仿宋_GB2312" w:eastAsia="仿宋_GB2312"/>
          <w:b w:val="0"/>
          <w:sz w:val="32"/>
        </w:rPr>
        <w:t>4.教育支出(类)教育费附加安排的支出(款)其他教育费附加安排的支出(项)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支出决算数为8.14万元，比上年决算增加8.14万元，增长100.00%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主要原因是：本年增加学校运转经费二（电费），导致相关经费增加。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支出决算数为0.00万元，比上年决算减少599.74万元，下降100.00%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主要原因是：本年功能科目调整，养老保险缴费上年度单独列支，本年调整至主科目列支，导致经费较上年减少。</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支出决算数为44.62万元，比上年决算增加12.43万元，增长38.61%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主要原因是：本年新增退休人员较上年增加，职业年金缴费支出增加。</w:t>
      </w:r>
    </w:p>
    <w:p>
      <w:pPr>
        <w:spacing w:line="580" w:lineRule="exact"/>
        <w:ind w:firstLine="640"/>
        <w:jc w:val="both"/>
      </w:pPr>
      <w:r>
        <w:rPr>
          <w:rFonts w:ascii="仿宋_GB2312" w:hAnsi="仿宋_GB2312" w:eastAsia="仿宋_GB2312"/>
          <w:b w:val="0"/>
          <w:sz w:val="32"/>
        </w:rPr>
        <w:t>7.社会保障和就业支出(类)抚恤(款)死亡抚恤(项)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支出决算数为0.00万元，比上年决算减少20.52万元，下降100.00%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主要原因是：本年功能科目调整，死亡抚恤金上年度单独列支，本年调整至主科目列支，导致经费较上年减少。</w:t>
      </w:r>
    </w:p>
    <w:p>
      <w:pPr>
        <w:spacing w:line="580" w:lineRule="exact"/>
        <w:ind w:firstLine="640"/>
        <w:jc w:val="both"/>
      </w:pPr>
      <w:r>
        <w:rPr>
          <w:rFonts w:ascii="仿宋_GB2312" w:hAnsi="仿宋_GB2312" w:eastAsia="仿宋_GB2312"/>
          <w:b w:val="0"/>
          <w:sz w:val="32"/>
        </w:rPr>
        <w:t>8.住房保障支出(类)住房改革支出(款)住房公积金(项)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支出决算数为0.00万元，比上年决算减少510.57万元，下降100.00%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主要原因是：本年功能科目调整，住房公积金上年度单独列支，本年调整至主科目列支，导致经费较上年减少。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2024年度一般公共预算财政拨款基本支出6,502.98万元，其中：</w:t>
      </w:r>
      <w:r>
        <w:rPr>
          <w:rFonts w:ascii="仿宋_GB2312" w:hAnsi="仿宋_GB2312" w:eastAsia="仿宋_GB2312"/>
          <w:b/>
          <w:sz w:val="32"/>
        </w:rPr>
        <w:t>人员经费6,502.98万元，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减少1.50万元，下降50.00%，主要原因是：本年减少彩票公益金（少年宫）项目经费，导致相关经费减少。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年初预算数1.50万元，决算数1.50万元，预决算差异率0.00%，主要原因是：严格按照预算执行，预决算无差异。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政府性基金预算财政拨款支出1.50万元。</w:t>
      </w:r>
    </w:p>
    <w:p>
      <w:pPr>
        <w:spacing w:line="580" w:lineRule="exact"/>
        <w:ind w:firstLine="640"/>
        <w:jc w:val="both"/>
      </w:pPr>
      <w:r>
        <w:rPr>
          <w:rFonts w:ascii="仿宋_GB2312" w:hAnsi="仿宋_GB2312" w:eastAsia="仿宋_GB2312"/>
          <w:b w:val="0"/>
          <w:sz w:val="32"/>
        </w:rPr>
        <w:t>1.其他支出(类)彩票公益金安排的支出(款)用于体育事业的彩票公益金支出(项)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支出决算数为1.50万元，比上年决算增加1.50万元，增长100.00%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主要原因是：本年科目调整乡村学校少年宫项目经费，上年在用于教育事业的彩票公益金支出(项)科目列支，本年调整至用于体育事业的彩票公益金支出(项)科目列支，导致相关经费增加。</w:t>
      </w:r>
    </w:p>
    <w:p>
      <w:pPr>
        <w:spacing w:line="580" w:lineRule="exact"/>
        <w:ind w:firstLine="640"/>
        <w:jc w:val="both"/>
      </w:pPr>
      <w:r>
        <w:rPr>
          <w:rFonts w:ascii="仿宋_GB2312" w:hAnsi="仿宋_GB2312" w:eastAsia="仿宋_GB2312"/>
          <w:b w:val="0"/>
          <w:sz w:val="32"/>
        </w:rPr>
        <w:t>2.其他支出(类)彩票公益金安排的支出(款)用于教育事业的彩票公益金支出(项)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主要原因是：本年科目调整乡村学校少年宫项目经费，上年在用于教育事业的彩票公益金支出(项)科目列支，本年调整至用于体育事业的彩票公益金支出(项)科目列支，导致相关经费减少。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2024年度阿图什市格达良乡中心学校（事业单位）公用经费支出0.00万元，比上年减少5.91万元，下降100.00%，主要原因是：本年单位公用经费均在项目中列支，基本支出中无公用经费。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2024年度政府采购支出总额224.72万元，其中：政府采购货物支出100.73万元、政府采购工程支出46.54万元、政府采购服务支出77.45万元。</w:t>
      </w:r>
    </w:p>
    <w:p>
      <w:pPr>
        <w:spacing w:line="580" w:lineRule="exact"/>
        <w:ind w:firstLine="640"/>
        <w:jc w:val="both"/>
      </w:pPr>
      <w:r>
        <w:rPr>
          <w:rFonts w:ascii="仿宋_GB2312" w:hAnsi="仿宋_GB2312" w:eastAsia="仿宋_GB2312"/>
          <w:b w:val="0"/>
          <w:sz w:val="32"/>
        </w:rPr>
        <w:t>授予中小企业合同金额197.90万元，占政府采购支出总额的88.07%，其中：授予小微企业合同金额195.82万元，占政府采购支出总额的87.14%。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26,938.41平方米，价值3,747.74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7,504.23万元，实际执行总额7,366.89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阿图什市格达良乡中心学校</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6,824.94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7,504.23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7,366.89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9.82</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6,824.94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7,502.73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7,365.39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思想品德教育，使学生的德智体全面发展；抓好教师队伍建设，使每个教师都热心于教育事业；做好安全防范，保证学生的人身安全</w:t>
            </w:r>
            <w:r>
              <w:rPr>
                <w:rFonts w:hint="eastAsia" w:ascii="宋体" w:hAnsi="宋体"/>
                <w:sz w:val="16"/>
                <w:lang w:eastAsia="zh-CN"/>
              </w:rPr>
              <w:t>。</w:t>
            </w:r>
            <w:r>
              <w:rPr>
                <w:rFonts w:ascii="宋体" w:hAnsi="宋体" w:eastAsia="宋体"/>
                <w:sz w:val="16"/>
              </w:rPr>
              <w:t xml:space="preserve"> </w:t>
            </w:r>
            <w:r>
              <w:rPr>
                <w:rFonts w:ascii="宋体" w:hAnsi="宋体" w:eastAsia="宋体"/>
                <w:sz w:val="16"/>
              </w:rPr>
              <w:br w:type="textWrapping"/>
            </w:r>
            <w:r>
              <w:rPr>
                <w:rFonts w:ascii="宋体" w:hAnsi="宋体" w:eastAsia="宋体"/>
                <w:sz w:val="16"/>
              </w:rPr>
              <w:t xml:space="preserve">机构设置及人员配置：无下属预算单位，下设4个科室，编制数426，实有人数485人，在职405人，退休80人。 </w:t>
            </w:r>
            <w:r>
              <w:rPr>
                <w:rFonts w:ascii="宋体" w:hAnsi="宋体" w:eastAsia="宋体"/>
                <w:sz w:val="16"/>
              </w:rPr>
              <w:br w:type="textWrapping"/>
            </w:r>
            <w:r>
              <w:rPr>
                <w:rFonts w:ascii="宋体" w:hAnsi="宋体" w:eastAsia="宋体"/>
                <w:sz w:val="16"/>
              </w:rPr>
              <w:t xml:space="preserve">中长期规划：基于新课标和新课程改革纲要，以扎实推进素质教育为目标，加强理论学习、转变思想观念、深化教研教改工作，全面提高教学质量，不断探索贯彻启发式、探索式学习思想的课堂教学模式。大力推崇开放式的，适应新教材的新型课。强化教师岗位培训，提高教师素质，促进新教师真正从学习型到创新型，老教师从经验性大科研型的转变，扎扎实实做好每一项工作，使教研教改共同代全校基础工作蓬勃发展。 </w:t>
            </w:r>
            <w:r>
              <w:rPr>
                <w:rFonts w:ascii="宋体" w:hAnsi="宋体" w:eastAsia="宋体"/>
                <w:sz w:val="16"/>
              </w:rPr>
              <w:br w:type="textWrapping"/>
            </w:r>
            <w:r>
              <w:rPr>
                <w:rFonts w:ascii="宋体" w:hAnsi="宋体" w:eastAsia="宋体"/>
                <w:sz w:val="16"/>
              </w:rPr>
              <w:t xml:space="preserve">  保障单位在职405人，退休80人的工资福利及各项补助正常发放及部门正常运转；保障单位预算项目按计划实施，便于开展检查指导学习各级各类学校工作，对全市教师开展培训工作，提高教学能力，为支教教师购买生活物资，提高支教教师幸福感、归属感，积极开展校园文化建设，培养学生身心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7366.89万元，用于保障部门在职405人，退休80人的工资福利、各项补助正常发放及部门单位正常运转，单位预算项目根据年初计划均已完成，开展检查指导学习各级各类学校工作，对全市教师开展培训工作，提高教学能力，为教师购买生活物资，提高教师幸福感、归属感，积极开展校园文化建设，培养学生身心全面发展，年度任务中完成法制教育课和交通安全知识讲座15场，教师培训人数405人，保障单位日常运转期限12个月等目标。 </w:t>
            </w:r>
            <w:r>
              <w:rPr>
                <w:rFonts w:ascii="宋体" w:hAnsi="宋体" w:eastAsia="宋体"/>
                <w:sz w:val="16"/>
              </w:rPr>
              <w:br w:type="textWrapping"/>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法治教育课和交通安全知识讲座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bookmarkStart w:id="0" w:name="_GoBack"/>
            <w:bookmarkEnd w:id="0"/>
            <w:r>
              <w:rPr>
                <w:rFonts w:ascii="宋体" w:hAnsi="宋体" w:eastAsia="宋体"/>
                <w:sz w:val="16"/>
              </w:rPr>
              <w:t>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EF14FD9"/>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226D9"/>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9660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6765</Words>
  <Characters>7693</Characters>
  <Lines>0</Lines>
  <Paragraphs>0</Paragraphs>
  <TotalTime>5</TotalTime>
  <ScaleCrop>false</ScaleCrop>
  <LinksUpToDate>false</LinksUpToDate>
  <CharactersWithSpaces>7709</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2026-01-12T10:26:23Z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