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专职委员和聘用人员生活补助及其他经费</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项目名称：专职委员和聘用人员生活补助及其他经费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项目单位：阿图什市残疾人联合会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主管部门：阿图什市残疾人联合会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专职委员和聘用人员生活补助及其他经费</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残疾人是一个特殊困难群体，需要格外关心、格外关注。长期以来，党和政府高度重视残疾人事业，大力推动残疾人事业与经济社会协调发展，残疾人收入水平较快增长，受教育程度稳步提高，康复服务不断拓展，权益得到有效维护，残疾人生存发展状况显著改善。保障和改善残疾人民生，加快推进残疾人小康进程，是深入贯彻党的十八大和十八届二中、三中、四中全会精神，全面深化改革、全面推进依法治国的重要举措，是全面建成小康社会、实现共同富裕、促进社会公平正义的必然要求。健全残疾人权益保障制度，完善残疾人基本公共服务体系，使改革发展成果更多更公平惠及广大残疾人，促进残疾人收入水平大幅提高、生活质量明显改善、融合发展持续推进，让残疾人安居乐业、衣食无忧，生活得更加殷实、更加幸福、更有尊严。坚持普惠与特惠相结合。既要通过普惠性制度安排给予残疾人公平待遇，保障他们基本的生存发展需求；又要通过特惠性制度安排给予残疾人特别扶助和优先保障，解决他们的特殊需求和特殊困难。坚持兜底保障与就业增收相结合。既要突出责任，兜底保障残疾人基本民生，为残疾人发展创造基本条件；又要充分发挥社会力量和市场机制作用，为残疾人就业增收和融合发展创造更好环境。坚持政府扶持、社会帮扶与残疾人自强自立相结合。既要加大政府扶持力度、鼓励社会帮扶，进一步解决好残疾人生产生活中存在的突出困难；又要促进残疾人增强自身发展能力，激励残疾人自强自立。坚持统筹兼顾和分类指导相结合。既要着眼于加快推进残疾人小康进程，尽快缩小残疾人生活状况与社会平均水平的差距；又要充分考虑地区差异，使残疾人小康进程与当地全面小康进程相协调、相适应。</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进一步支持残疾人事业发展，提高残疾人融入社会能力，宣传关于残疾人优惠政策，加强残疾人教育和体育方面的工作，按照阿政纪【2011】20号：阿图什市人民政府第一次常务会议纪要经研究，阿党纪字【2015】16号：阿图什市六届市委第61次常委（扩大）会议纪要请示，农村残协专职委员每人每月360元，社区残协专职委员每人每月200元工作补助标准执行。阿图什市现有农村残协专职委员34人，社区残协专职委员27人</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实施主体：本项目的主管部门为阿图什市残疾人联合会,实施单位为阿图什市残疾人联合会，主要职责：项目实施过程中严格按照实施方案进行实施并及时进行监督管理，项目实施后进行及时验收及后期管理。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42.33</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22.69</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53.6</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农村残协专职委员补助标准</w:t>
      </w:r>
      <w:r>
        <w:rPr>
          <w:rStyle w:val="11"/>
          <w:rFonts w:hint="eastAsia" w:ascii="仿宋_GB2312"/>
          <w:b w:val="0"/>
          <w:color w:val="auto"/>
          <w:spacing w:val="-4"/>
          <w:sz w:val="32"/>
          <w:highlight w:val="none"/>
        </w:rPr>
        <w:tab/>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360元/人/月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社区残协专职委员补助标准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200元/人/月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聘用人员生活补助</w:t>
      </w:r>
      <w:r>
        <w:rPr>
          <w:rStyle w:val="11"/>
          <w:rFonts w:hint="eastAsia" w:ascii="仿宋_GB2312"/>
          <w:b w:val="0"/>
          <w:color w:val="auto"/>
          <w:spacing w:val="-4"/>
          <w:sz w:val="32"/>
          <w:highlight w:val="none"/>
          <w:lang w:val="en-US" w:eastAsia="zh-CN"/>
        </w:rPr>
        <w:t>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2500元/人/月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进一步支持残疾人事业发展，提高残疾人社会融入社会能力，宣传关于残疾人优惠政策，加强残疾人教育和体育方面的工作，按照阿政纪【2011】20号：阿图什市人民政府第一次常务会议纪要经研究，阿党纪字【2015】16号：阿图什市六届市委第61次常委（扩大）会议纪要请示，农村残协专职委员每人每月360元，社区残协专职委员每人每月200元工作补助标准执行。阿图什市现有农村残协专职委员34人，社区残协专职委员27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专职委员和聘用人员生活补助及其他经费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专职委员和聘用人员生活补助及其他经费</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专职委员和聘用人员生活补助及其他经费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专职委员和聘用人员生活补助及其他经费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专职委员和聘用人员生活补助及其他经费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0"/>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2568" w:type="dxa"/>
            <w:vAlign w:val="center"/>
          </w:tcPr>
          <w:p>
            <w:pPr>
              <w:pStyle w:val="30"/>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太来提·吐拉洪</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2568" w:type="dxa"/>
            <w:vAlign w:val="center"/>
          </w:tcPr>
          <w:p>
            <w:pPr>
              <w:pStyle w:val="30"/>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李路民</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苏依都古丽</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专职委员和聘用人员生活补助及其他经费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组织管理、产出与效益效果。在此基础上，以相关的项目数据为基础，综合运用不同的评价方法，结合评价标准和评分规则，专职委员和聘用人员生活补助及其他经费综合得分为93.68分，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年专职委员和聘用人员生活补助及其他经费评价得分情况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564"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596"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3"/>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74"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14.68</w:t>
            </w:r>
          </w:p>
        </w:tc>
        <w:tc>
          <w:tcPr>
            <w:tcW w:w="3866" w:type="dxa"/>
            <w:tcBorders>
              <w:top w:val="single" w:color="auto" w:sz="4" w:space="0"/>
              <w:left w:val="single" w:color="auto" w:sz="4" w:space="0"/>
              <w:right w:val="single" w:color="auto" w:sz="4" w:space="0"/>
            </w:tcBorders>
            <w:shd w:val="clear" w:color="auto" w:fill="FFFFFF"/>
            <w:vAlign w:val="bottom"/>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预算执行率扣2.32分</w:t>
            </w:r>
          </w:p>
        </w:tc>
      </w:tr>
      <w:tr>
        <w:tblPrEx>
          <w:tblLayout w:type="fixed"/>
          <w:tblCellMar>
            <w:top w:w="0" w:type="dxa"/>
            <w:left w:w="10" w:type="dxa"/>
            <w:bottom w:w="0" w:type="dxa"/>
            <w:right w:w="10" w:type="dxa"/>
          </w:tblCellMar>
        </w:tblPrEx>
        <w:trPr>
          <w:trHeight w:val="629" w:hRule="exact"/>
          <w:jc w:val="center"/>
        </w:trPr>
        <w:tc>
          <w:tcPr>
            <w:tcW w:w="1447"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26</w:t>
            </w:r>
          </w:p>
        </w:tc>
        <w:tc>
          <w:tcPr>
            <w:tcW w:w="3866" w:type="dxa"/>
            <w:tcBorders>
              <w:top w:val="single" w:color="auto" w:sz="4" w:space="0"/>
              <w:left w:val="single" w:color="auto" w:sz="4" w:space="0"/>
              <w:right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成本指标扣4分</w:t>
            </w:r>
          </w:p>
        </w:tc>
      </w:tr>
      <w:tr>
        <w:tblPrEx>
          <w:tblLayout w:type="fixed"/>
          <w:tblCellMar>
            <w:top w:w="0" w:type="dxa"/>
            <w:left w:w="10" w:type="dxa"/>
            <w:bottom w:w="0" w:type="dxa"/>
            <w:right w:w="10" w:type="dxa"/>
          </w:tblCellMar>
        </w:tblPrEx>
        <w:trPr>
          <w:trHeight w:val="547"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546"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3"/>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93.68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专职委员和聘用人员生活补助及其他经费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农村残协专职委员34人，社区残协专职委员27人，聘用人员2人发放生活补助等工作；通过该项目的实施进一步支持残疾人事业发展，提高残疾人社会融入社会能力，宣传关于残疾人优惠政策，加强残疾人教育和体育方面的工作。</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专职委员和聘用人员生活补助及其他经费</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22.69</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93.68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专职委员和聘用人员生活补助及其他经费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专职委员和聘用人员生活补助及其他经费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专职委员和聘用人员生活补助及其他经费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专职委员和聘用人员生活补助及其他经费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专职委员和聘用人员生活补助及其他经费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数量指标为农村残协专职委员，预期指标值是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34人，实际完成值是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34人，指标达到预期目标。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数量指标为社区残协专职委员，预期指标值是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27人，实际完成值是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27人，指标达到预期目标。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数量指标为聘用人员，预期指标值是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2人，指标达到预期目标。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质量指标为资金发放准确率，预期指标值是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r>
        <w:rPr>
          <w:rFonts w:hint="eastAsia" w:ascii="仿宋_GB2312"/>
          <w:color w:val="auto"/>
          <w:sz w:val="32"/>
          <w:szCs w:val="32"/>
          <w:highlight w:val="none"/>
          <w:lang w:val="en-US" w:eastAsia="zh-CN"/>
        </w:rPr>
        <w:t xml:space="preserve"> </w:t>
      </w:r>
    </w:p>
    <w:p>
      <w:pPr>
        <w:keepNext w:val="0"/>
        <w:keepLines w:val="0"/>
        <w:pageBreakBefore w:val="0"/>
        <w:widowControl w:val="0"/>
        <w:numPr>
          <w:ilvl w:val="0"/>
          <w:numId w:val="3"/>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textAlignment w:val="auto"/>
        <w:rPr>
          <w:rFonts w:hint="eastAsia" w:ascii="仿宋_GB2312"/>
          <w:b/>
          <w:color w:val="auto"/>
          <w:sz w:val="32"/>
          <w:szCs w:val="32"/>
          <w:highlight w:val="none"/>
          <w:lang w:val="en-US" w:eastAsia="zh-CN"/>
        </w:rPr>
      </w:pPr>
      <w:r>
        <w:rPr>
          <w:rFonts w:hint="eastAsia" w:ascii="仿宋_GB2312"/>
          <w:b/>
          <w:color w:val="auto"/>
          <w:sz w:val="32"/>
          <w:szCs w:val="32"/>
          <w:highlight w:val="none"/>
        </w:rPr>
        <w:t>成本指标</w:t>
      </w:r>
      <w:r>
        <w:rPr>
          <w:rFonts w:hint="eastAsia" w:ascii="仿宋_GB2312"/>
          <w:b/>
          <w:color w:val="auto"/>
          <w:sz w:val="32"/>
          <w:szCs w:val="32"/>
          <w:highlight w:val="none"/>
          <w:lang w:val="en-US" w:eastAsia="zh-CN"/>
        </w:rPr>
        <w:t xml:space="preserve">  </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rPr>
        <w:t>成本指标为农村残协专职委员补助标准，预期指标值是</w:t>
      </w:r>
      <w:r>
        <w:rPr>
          <w:rFonts w:hint="eastAsia" w:ascii="仿宋_GB2312"/>
          <w:color w:val="auto"/>
          <w:sz w:val="32"/>
          <w:szCs w:val="32"/>
          <w:highlight w:val="none"/>
          <w:lang w:eastAsia="zh-CN"/>
        </w:rPr>
        <w:t>小</w:t>
      </w:r>
      <w:r>
        <w:rPr>
          <w:rFonts w:hint="eastAsia" w:ascii="仿宋_GB2312"/>
          <w:color w:val="auto"/>
          <w:sz w:val="32"/>
          <w:szCs w:val="32"/>
          <w:highlight w:val="none"/>
          <w:lang w:val="en-US" w:eastAsia="zh-CN"/>
        </w:rPr>
        <w:t xml:space="preserve"> </w:t>
      </w:r>
      <w:r>
        <w:rPr>
          <w:rFonts w:hint="eastAsia" w:ascii="仿宋_GB2312"/>
          <w:color w:val="auto"/>
          <w:sz w:val="32"/>
          <w:szCs w:val="32"/>
          <w:highlight w:val="none"/>
          <w:lang w:eastAsia="zh-CN"/>
        </w:rPr>
        <w:t>等于</w:t>
      </w:r>
      <w:r>
        <w:rPr>
          <w:rFonts w:hint="eastAsia" w:ascii="仿宋_GB2312"/>
          <w:color w:val="auto"/>
          <w:sz w:val="32"/>
          <w:szCs w:val="32"/>
          <w:highlight w:val="none"/>
        </w:rPr>
        <w:t>360元/人/月，实际完成值是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360元/人/月，指标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r>
        <w:rPr>
          <w:rFonts w:hint="eastAsia" w:ascii="仿宋_GB2312"/>
          <w:color w:val="auto"/>
          <w:sz w:val="32"/>
          <w:szCs w:val="32"/>
          <w:highlight w:val="none"/>
          <w:lang w:val="en-US" w:eastAsia="zh-CN"/>
        </w:rPr>
        <w:t xml:space="preserve"> </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rPr>
        <w:t>成本指标为社区残协专职委员补助标准，预期指标值是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200元/人/月，实际完成值是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200元/人/月，指标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r>
        <w:rPr>
          <w:rFonts w:hint="eastAsia" w:ascii="仿宋_GB2312"/>
          <w:color w:val="auto"/>
          <w:sz w:val="32"/>
          <w:szCs w:val="32"/>
          <w:highlight w:val="none"/>
          <w:lang w:val="en-US" w:eastAsia="zh-CN"/>
        </w:rPr>
        <w:t xml:space="preserve"> </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rPr>
        <w:t>成本指标为聘用人员生活补助，预期指标值是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2500元/人/月，实际完成值是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2500元/人/月，指标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r>
        <w:rPr>
          <w:rFonts w:hint="eastAsia" w:ascii="仿宋_GB2312"/>
          <w:color w:val="auto"/>
          <w:sz w:val="32"/>
          <w:szCs w:val="32"/>
          <w:highlight w:val="none"/>
          <w:lang w:val="en-US" w:eastAsia="zh-CN"/>
        </w:rPr>
        <w:t xml:space="preserve"> </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960" w:firstLineChars="30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rPr>
        <w:t>成本指标为其他运转费用，预期指标值是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1.96万元，实际完成值是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r>
        <w:rPr>
          <w:rFonts w:hint="eastAsia" w:ascii="仿宋_GB2312"/>
          <w:color w:val="auto"/>
          <w:sz w:val="32"/>
          <w:szCs w:val="32"/>
          <w:highlight w:val="none"/>
          <w:lang w:val="en-US" w:eastAsia="zh-CN"/>
        </w:rPr>
        <w:t xml:space="preserve"> </w:t>
      </w:r>
    </w:p>
    <w:p>
      <w:pPr>
        <w:keepNext w:val="0"/>
        <w:keepLines w:val="0"/>
        <w:pageBreakBefore w:val="0"/>
        <w:widowControl w:val="0"/>
        <w:numPr>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宋体"/>
          <w:b/>
          <w:color w:val="auto"/>
          <w:sz w:val="32"/>
          <w:szCs w:val="32"/>
          <w:highlight w:val="none"/>
          <w:lang w:val="en-US" w:eastAsia="zh-CN"/>
        </w:rPr>
      </w:pPr>
      <w:r>
        <w:rPr>
          <w:rFonts w:hint="eastAsia" w:ascii="楷体" w:hAnsi="楷体" w:eastAsia="楷体" w:cs="宋体"/>
          <w:b/>
          <w:color w:val="auto"/>
          <w:sz w:val="32"/>
          <w:szCs w:val="32"/>
          <w:highlight w:val="none"/>
          <w:lang w:val="en-US" w:eastAsia="zh-CN"/>
        </w:rPr>
        <w:t>(四)</w:t>
      </w:r>
      <w:r>
        <w:rPr>
          <w:rFonts w:hint="eastAsia" w:ascii="楷体" w:hAnsi="楷体" w:eastAsia="楷体" w:cs="宋体"/>
          <w:b/>
          <w:color w:val="auto"/>
          <w:sz w:val="32"/>
          <w:szCs w:val="32"/>
          <w:highlight w:val="none"/>
        </w:rPr>
        <w:t>项目效益情况</w:t>
      </w:r>
      <w:r>
        <w:rPr>
          <w:rFonts w:hint="eastAsia" w:ascii="楷体" w:hAnsi="楷体" w:eastAsia="楷体" w:cs="宋体"/>
          <w:b/>
          <w:color w:val="auto"/>
          <w:sz w:val="32"/>
          <w:szCs w:val="32"/>
          <w:highlight w:val="none"/>
          <w:lang w:val="en-US" w:eastAsia="zh-CN"/>
        </w:rPr>
        <w:t xml:space="preserve"> </w:t>
      </w:r>
    </w:p>
    <w:p>
      <w:pPr>
        <w:keepNext w:val="0"/>
        <w:keepLines w:val="0"/>
        <w:pageBreakBefore w:val="0"/>
        <w:widowControl w:val="0"/>
        <w:numPr>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bCs/>
          <w:color w:val="auto"/>
          <w:sz w:val="32"/>
          <w:szCs w:val="32"/>
          <w:highlight w:val="none"/>
          <w:lang w:val="en-US" w:eastAsia="zh-CN"/>
        </w:rPr>
      </w:pPr>
      <w:r>
        <w:rPr>
          <w:rFonts w:hint="eastAsia" w:ascii="仿宋_GB2312" w:hAnsi="仿宋" w:cs="宋体"/>
          <w:b/>
          <w:bCs/>
          <w:color w:val="auto"/>
          <w:sz w:val="32"/>
          <w:szCs w:val="32"/>
          <w:highlight w:val="none"/>
        </w:rPr>
        <w:t>1．经济效益指标</w:t>
      </w:r>
      <w:r>
        <w:rPr>
          <w:rFonts w:hint="eastAsia" w:ascii="仿宋_GB2312" w:hAnsi="仿宋" w:cs="宋体"/>
          <w:b/>
          <w:bCs/>
          <w:color w:val="auto"/>
          <w:sz w:val="32"/>
          <w:szCs w:val="32"/>
          <w:highlight w:val="none"/>
          <w:lang w:val="en-US" w:eastAsia="zh-CN"/>
        </w:rPr>
        <w:t xml:space="preserve"> </w:t>
      </w:r>
    </w:p>
    <w:p>
      <w:pPr>
        <w:keepNext w:val="0"/>
        <w:keepLines w:val="0"/>
        <w:pageBreakBefore w:val="0"/>
        <w:widowControl w:val="0"/>
        <w:numPr>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 xml:space="preserve">无。 </w:t>
      </w:r>
    </w:p>
    <w:p>
      <w:pPr>
        <w:keepNext w:val="0"/>
        <w:keepLines w:val="0"/>
        <w:pageBreakBefore w:val="0"/>
        <w:widowControl w:val="0"/>
        <w:numPr>
          <w:ilvl w:val="0"/>
          <w:numId w:val="4"/>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bCs/>
          <w:color w:val="auto"/>
          <w:sz w:val="32"/>
          <w:szCs w:val="32"/>
          <w:highlight w:val="none"/>
          <w:lang w:val="en-US" w:eastAsia="zh-CN"/>
        </w:rPr>
      </w:pPr>
      <w:r>
        <w:rPr>
          <w:rFonts w:hint="eastAsia" w:ascii="仿宋_GB2312" w:hAnsi="仿宋" w:cs="宋体"/>
          <w:b/>
          <w:bCs/>
          <w:color w:val="auto"/>
          <w:sz w:val="32"/>
          <w:szCs w:val="32"/>
          <w:highlight w:val="none"/>
        </w:rPr>
        <w:t>社会效益指标</w:t>
      </w:r>
      <w:r>
        <w:rPr>
          <w:rFonts w:hint="eastAsia" w:ascii="仿宋_GB2312" w:hAnsi="仿宋" w:cs="宋体"/>
          <w:b/>
          <w:bCs/>
          <w:color w:val="auto"/>
          <w:sz w:val="32"/>
          <w:szCs w:val="32"/>
          <w:highlight w:val="none"/>
          <w:lang w:val="en-US" w:eastAsia="zh-CN"/>
        </w:rPr>
        <w:t xml:space="preserve"> </w:t>
      </w:r>
    </w:p>
    <w:p>
      <w:pPr>
        <w:keepNext w:val="0"/>
        <w:keepLines w:val="0"/>
        <w:pageBreakBefore w:val="0"/>
        <w:widowControl w:val="0"/>
        <w:numPr>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w:t>
      </w:r>
      <w:r>
        <w:rPr>
          <w:rFonts w:hint="eastAsia" w:ascii="仿宋_GB2312" w:eastAsia="仿宋_GB2312"/>
          <w:color w:val="auto"/>
          <w:sz w:val="32"/>
          <w:szCs w:val="32"/>
          <w:highlight w:val="none"/>
          <w:lang w:val="en-US" w:eastAsia="zh-CN"/>
        </w:rPr>
        <w:t>提高残疾人社会融入社会能力，预期指标值是有效提高，实际完成值是有效提高，指标达到预期目标。</w:t>
      </w:r>
      <w:r>
        <w:rPr>
          <w:rFonts w:hint="eastAsia" w:ascii="仿宋_GB2312"/>
          <w:color w:val="auto"/>
          <w:sz w:val="32"/>
          <w:szCs w:val="32"/>
          <w:highlight w:val="none"/>
          <w:lang w:val="en-US" w:eastAsia="zh-CN"/>
        </w:rPr>
        <w:t xml:space="preserve"> </w:t>
      </w:r>
    </w:p>
    <w:p>
      <w:pPr>
        <w:keepNext w:val="0"/>
        <w:keepLines w:val="0"/>
        <w:pageBreakBefore w:val="0"/>
        <w:widowControl w:val="0"/>
        <w:numPr>
          <w:ilvl w:val="0"/>
          <w:numId w:val="4"/>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bCs/>
          <w:color w:val="auto"/>
          <w:sz w:val="32"/>
          <w:szCs w:val="32"/>
          <w:highlight w:val="none"/>
          <w:lang w:val="en-US" w:eastAsia="zh-CN"/>
        </w:rPr>
      </w:pPr>
      <w:r>
        <w:rPr>
          <w:rFonts w:hint="eastAsia" w:ascii="仿宋_GB2312" w:hAnsi="仿宋" w:cs="宋体"/>
          <w:b/>
          <w:bCs/>
          <w:color w:val="auto"/>
          <w:sz w:val="32"/>
          <w:szCs w:val="32"/>
          <w:highlight w:val="none"/>
        </w:rPr>
        <w:t>生态效益指标</w:t>
      </w:r>
      <w:r>
        <w:rPr>
          <w:rFonts w:hint="eastAsia" w:ascii="仿宋_GB2312" w:hAnsi="仿宋" w:cs="宋体"/>
          <w:b/>
          <w:bCs/>
          <w:color w:val="auto"/>
          <w:sz w:val="32"/>
          <w:szCs w:val="32"/>
          <w:highlight w:val="none"/>
          <w:lang w:val="en-US" w:eastAsia="zh-CN"/>
        </w:rPr>
        <w:t xml:space="preserve"> </w:t>
      </w:r>
    </w:p>
    <w:p>
      <w:pPr>
        <w:keepNext w:val="0"/>
        <w:keepLines w:val="0"/>
        <w:pageBreakBefore w:val="0"/>
        <w:widowControl w:val="0"/>
        <w:numPr>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 xml:space="preserve">无。 </w:t>
      </w:r>
    </w:p>
    <w:p>
      <w:pPr>
        <w:keepNext w:val="0"/>
        <w:keepLines w:val="0"/>
        <w:pageBreakBefore w:val="0"/>
        <w:widowControl w:val="0"/>
        <w:numPr>
          <w:ilvl w:val="0"/>
          <w:numId w:val="5"/>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宋体"/>
          <w:b/>
          <w:color w:val="auto"/>
          <w:sz w:val="32"/>
          <w:szCs w:val="32"/>
          <w:highlight w:val="none"/>
          <w:lang w:val="en-US" w:eastAsia="zh-CN"/>
        </w:rPr>
      </w:pPr>
      <w:r>
        <w:rPr>
          <w:rFonts w:hint="eastAsia" w:ascii="楷体" w:hAnsi="楷体" w:eastAsia="楷体" w:cs="宋体"/>
          <w:b/>
          <w:color w:val="auto"/>
          <w:sz w:val="32"/>
          <w:szCs w:val="32"/>
          <w:highlight w:val="none"/>
        </w:rPr>
        <w:t>满意度指标完成情况分析</w:t>
      </w:r>
      <w:r>
        <w:rPr>
          <w:rFonts w:hint="eastAsia" w:ascii="楷体" w:hAnsi="楷体" w:eastAsia="楷体" w:cs="宋体"/>
          <w:b/>
          <w:color w:val="auto"/>
          <w:sz w:val="32"/>
          <w:szCs w:val="32"/>
          <w:highlight w:val="none"/>
          <w:lang w:val="en-US" w:eastAsia="zh-CN"/>
        </w:rPr>
        <w:t xml:space="preserve"> </w:t>
      </w:r>
    </w:p>
    <w:p>
      <w:pPr>
        <w:keepNext w:val="0"/>
        <w:keepLines w:val="0"/>
        <w:pageBreakBefore w:val="0"/>
        <w:widowControl w:val="0"/>
        <w:numPr>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rPr>
        <w:t>满意度指标为受益人员满意度，预期指标值是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r>
        <w:rPr>
          <w:rFonts w:hint="eastAsia" w:ascii="仿宋_GB2312"/>
          <w:color w:val="auto"/>
          <w:sz w:val="32"/>
          <w:szCs w:val="32"/>
          <w:highlight w:val="none"/>
          <w:lang w:val="en-US" w:eastAsia="zh-CN"/>
        </w:rPr>
        <w:t xml:space="preserve"> </w:t>
      </w:r>
    </w:p>
    <w:p>
      <w:pPr>
        <w:keepNext w:val="0"/>
        <w:keepLines w:val="0"/>
        <w:pageBreakBefore w:val="0"/>
        <w:widowControl w:val="0"/>
        <w:numPr>
          <w:ilvl w:val="0"/>
          <w:numId w:val="6"/>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黑体" w:hAnsi="黑体" w:eastAsia="黑体" w:cs="仿宋_GB2312"/>
          <w:b w:val="0"/>
          <w:bCs w:val="0"/>
          <w:color w:val="auto"/>
          <w:kern w:val="2"/>
          <w:sz w:val="32"/>
          <w:szCs w:val="32"/>
          <w:highlight w:val="none"/>
          <w:lang w:val="en-US" w:eastAsia="zh-CN"/>
        </w:rPr>
      </w:pPr>
      <w:r>
        <w:rPr>
          <w:rFonts w:hint="default" w:ascii="黑体" w:hAnsi="黑体" w:eastAsia="黑体" w:cs="仿宋_GB2312"/>
          <w:b w:val="0"/>
          <w:bCs w:val="0"/>
          <w:color w:val="auto"/>
          <w:kern w:val="2"/>
          <w:sz w:val="32"/>
          <w:szCs w:val="32"/>
          <w:highlight w:val="none"/>
        </w:rPr>
        <w:t>主要经验及做法、存在的问题及原因分析</w:t>
      </w:r>
      <w:r>
        <w:rPr>
          <w:rFonts w:hint="eastAsia" w:ascii="黑体" w:hAnsi="黑体" w:eastAsia="黑体" w:cs="仿宋_GB2312"/>
          <w:b w:val="0"/>
          <w:bCs w:val="0"/>
          <w:color w:val="auto"/>
          <w:kern w:val="2"/>
          <w:sz w:val="32"/>
          <w:szCs w:val="32"/>
          <w:highlight w:val="none"/>
          <w:lang w:val="en-US" w:eastAsia="zh-CN"/>
        </w:rPr>
        <w:t xml:space="preserve"> </w:t>
      </w:r>
    </w:p>
    <w:p>
      <w:pPr>
        <w:keepNext w:val="0"/>
        <w:keepLines w:val="0"/>
        <w:pageBreakBefore w:val="0"/>
        <w:widowControl w:val="0"/>
        <w:numPr>
          <w:ilvl w:val="0"/>
          <w:numId w:val="7"/>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b/>
          <w:bCs/>
          <w:color w:val="auto"/>
          <w:sz w:val="32"/>
          <w:szCs w:val="32"/>
          <w:highlight w:val="none"/>
          <w:lang w:val="en-US" w:eastAsia="zh-CN"/>
        </w:rPr>
      </w:pPr>
      <w:r>
        <w:rPr>
          <w:rFonts w:hint="eastAsia" w:ascii="楷体" w:hAnsi="楷体" w:eastAsia="楷体"/>
          <w:b/>
          <w:bCs/>
          <w:color w:val="auto"/>
          <w:sz w:val="32"/>
          <w:szCs w:val="32"/>
          <w:highlight w:val="none"/>
        </w:rPr>
        <w:t>主要经验及做法</w:t>
      </w:r>
      <w:r>
        <w:rPr>
          <w:rFonts w:hint="eastAsia" w:ascii="楷体" w:hAnsi="楷体" w:eastAsia="楷体"/>
          <w:b/>
          <w:bCs/>
          <w:color w:val="auto"/>
          <w:sz w:val="32"/>
          <w:szCs w:val="32"/>
          <w:highlight w:val="none"/>
          <w:lang w:val="en-US" w:eastAsia="zh-CN"/>
        </w:rPr>
        <w:t xml:space="preserve"> </w:t>
      </w:r>
    </w:p>
    <w:p>
      <w:pPr>
        <w:keepNext w:val="0"/>
        <w:keepLines w:val="0"/>
        <w:pageBreakBefore w:val="0"/>
        <w:widowControl w:val="0"/>
        <w:numPr>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00" w:firstLineChars="200"/>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rPr>
          <w:rFonts w:hint="eastAsia" w:ascii="楷体" w:hAnsi="楷体" w:eastAsia="楷体"/>
          <w:b/>
          <w:bCs/>
          <w:color w:val="auto"/>
          <w:sz w:val="32"/>
          <w:szCs w:val="32"/>
          <w:highlight w:val="none"/>
        </w:rPr>
      </w:pPr>
      <w:bookmarkStart w:id="0" w:name="_GoBack"/>
      <w:bookmarkEnd w:id="0"/>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42.33</w:t>
      </w:r>
      <w:r>
        <w:rPr>
          <w:rFonts w:hint="eastAsia"/>
          <w:color w:val="auto"/>
          <w:sz w:val="32"/>
          <w:highlight w:val="none"/>
        </w:rPr>
        <w:t>万元，执行数</w:t>
      </w:r>
      <w:r>
        <w:rPr>
          <w:rFonts w:hint="eastAsia"/>
          <w:color w:val="auto"/>
          <w:sz w:val="32"/>
          <w:highlight w:val="none"/>
          <w:lang w:val="en-US" w:eastAsia="zh-CN"/>
        </w:rPr>
        <w:t>22.69</w:t>
      </w:r>
      <w:r>
        <w:rPr>
          <w:rFonts w:hint="eastAsia"/>
          <w:color w:val="auto"/>
          <w:sz w:val="32"/>
          <w:highlight w:val="none"/>
        </w:rPr>
        <w:t>万元，执行率</w:t>
      </w:r>
      <w:r>
        <w:rPr>
          <w:rFonts w:hint="eastAsia"/>
          <w:color w:val="auto"/>
          <w:sz w:val="32"/>
          <w:highlight w:val="none"/>
          <w:lang w:val="en-US" w:eastAsia="zh-CN"/>
        </w:rPr>
        <w:t>53.6</w:t>
      </w:r>
      <w:r>
        <w:rPr>
          <w:rFonts w:hint="eastAsia"/>
          <w:color w:val="auto"/>
          <w:sz w:val="32"/>
          <w:highlight w:val="none"/>
        </w:rPr>
        <w:t>%，绩效指标完成率</w:t>
      </w:r>
      <w:r>
        <w:rPr>
          <w:rFonts w:hint="eastAsia"/>
          <w:color w:val="auto"/>
          <w:sz w:val="32"/>
          <w:highlight w:val="none"/>
          <w:lang w:val="en-US" w:eastAsia="zh-CN"/>
        </w:rPr>
        <w:t>79</w:t>
      </w:r>
      <w:r>
        <w:rPr>
          <w:rFonts w:hint="eastAsia"/>
          <w:color w:val="auto"/>
          <w:sz w:val="32"/>
          <w:highlight w:val="none"/>
        </w:rPr>
        <w:t>%，偏差率</w:t>
      </w:r>
      <w:r>
        <w:rPr>
          <w:rFonts w:hint="eastAsia"/>
          <w:color w:val="auto"/>
          <w:sz w:val="32"/>
          <w:highlight w:val="none"/>
          <w:lang w:val="en-US" w:eastAsia="zh-CN"/>
        </w:rPr>
        <w:t>25.4</w:t>
      </w:r>
      <w:r>
        <w:rPr>
          <w:rFonts w:hint="eastAsia"/>
          <w:color w:val="auto"/>
          <w:sz w:val="32"/>
          <w:highlight w:val="none"/>
        </w:rPr>
        <w:t>%。偏差原因：根据实际产生的费用进行支出，因此指标完成情况存在偏差。</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2.68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93.68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318E"/>
    <w:multiLevelType w:val="multilevel"/>
    <w:tmpl w:val="68D231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23199"/>
    <w:multiLevelType w:val="singleLevel"/>
    <w:tmpl w:val="68D23199"/>
    <w:lvl w:ilvl="0" w:tentative="0">
      <w:start w:val="3"/>
      <w:numFmt w:val="decimal"/>
      <w:suff w:val="nothing"/>
      <w:lvlText w:val="%1．"/>
      <w:lvlJc w:val="left"/>
      <w:rPr>
        <w:rFonts w:hint="default"/>
        <w:b/>
        <w:bCs/>
        <w:color w:val="auto"/>
      </w:rPr>
    </w:lvl>
  </w:abstractNum>
  <w:abstractNum w:abstractNumId="2">
    <w:nsid w:val="68D231A4"/>
    <w:multiLevelType w:val="singleLevel"/>
    <w:tmpl w:val="68D231A4"/>
    <w:lvl w:ilvl="0" w:tentative="0">
      <w:start w:val="2"/>
      <w:numFmt w:val="decimal"/>
      <w:suff w:val="nothing"/>
      <w:lvlText w:val="%1．"/>
      <w:lvlJc w:val="left"/>
      <w:rPr>
        <w:rFonts w:hint="default"/>
        <w:b/>
        <w:bCs/>
      </w:rPr>
    </w:lvl>
  </w:abstractNum>
  <w:abstractNum w:abstractNumId="3">
    <w:nsid w:val="68D23325"/>
    <w:multiLevelType w:val="singleLevel"/>
    <w:tmpl w:val="68D23325"/>
    <w:lvl w:ilvl="0" w:tentative="0">
      <w:start w:val="2"/>
      <w:numFmt w:val="decimal"/>
      <w:suff w:val="nothing"/>
      <w:lvlText w:val="%1．"/>
      <w:lvlJc w:val="left"/>
    </w:lvl>
  </w:abstractNum>
  <w:abstractNum w:abstractNumId="4">
    <w:nsid w:val="68D23345"/>
    <w:multiLevelType w:val="singleLevel"/>
    <w:tmpl w:val="68D23345"/>
    <w:lvl w:ilvl="0" w:tentative="0">
      <w:start w:val="5"/>
      <w:numFmt w:val="chineseCounting"/>
      <w:suff w:val="nothing"/>
      <w:lvlText w:val="（%1）"/>
      <w:lvlJc w:val="left"/>
    </w:lvl>
  </w:abstractNum>
  <w:abstractNum w:abstractNumId="5">
    <w:nsid w:val="68D2335C"/>
    <w:multiLevelType w:val="singleLevel"/>
    <w:tmpl w:val="68D2335C"/>
    <w:lvl w:ilvl="0" w:tentative="0">
      <w:start w:val="5"/>
      <w:numFmt w:val="chineseCounting"/>
      <w:suff w:val="nothing"/>
      <w:lvlText w:val="%1、"/>
      <w:lvlJc w:val="left"/>
    </w:lvl>
  </w:abstractNum>
  <w:abstractNum w:abstractNumId="6">
    <w:nsid w:val="68D23370"/>
    <w:multiLevelType w:val="singleLevel"/>
    <w:tmpl w:val="68D23370"/>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0DA352B"/>
    <w:rsid w:val="40C40C7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Other|1"/>
    <w:basedOn w:val="1"/>
    <w:qFormat/>
    <w:uiPriority w:val="0"/>
    <w:pPr>
      <w:spacing w:line="420" w:lineRule="auto"/>
      <w:ind w:firstLine="400"/>
    </w:pPr>
    <w:rPr>
      <w:rFonts w:ascii="宋体" w:hAnsi="宋体" w:eastAsia="宋体" w:cs="宋体"/>
      <w:szCs w:val="3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D3E3354218E244358178FBC1A68E1E63_13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6debdd-fc5b-4ac5-b0e0-13acd0a62c4e}">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8</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2025-09-23T05:40:20Z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D3E3354218E244358178FBC1A68E1E63_13</vt:lpwstr>
  </property>
  <property fmtid="{D5CDD505-2E9C-101B-9397-08002B2CF9AE}" pid="4" name="KSOTemplateDocerSaveRecord">
    <vt:lpwstr>eyJoZGlkIjoiYzZkNzQ4ZWFiZmQ4NTRhOWRkZTk3YTMwMjlmMmZhYmUiLCJ1c2VySWQiOiI1NzgxMjU4NDIifQ_x003D__x003D_</vt:lpwstr>
  </property>
</Properties>
</file>