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2024年自治区财政城乡居民基本养老保险</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补助资金</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项目名称：2024年自治区财政城乡居民基本养老保险补助资金</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项目单位：阿图什市社会保险中心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主管部门：阿图什市社会保险中心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2024年自治区财政城乡居民基本养老保险</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补助资金</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当前我国新增人口数量持续走低，人口老龄化问题越来越严重，这就进一步加剧了国家和政府的养老负担。对此，需坚持以人民为中心的发展思想，按照兜底线、织密网、建机制的要求，建立激励约束有效、筹资权责清晰、保障水平适度的待遇确定和基础养老金正常调整机制，为推动城乡居民基本养老保险待遇水平随经济发展逐步提高，确保参保居民共享经济社会发展成果，不断增强参保居民的获得感、幸福感、安全感。具体地说，就是按照党中央决策部署，坚持问题导向和目标导向，补短板、强弱项、守底线，推动城乡居民基本养老保险事业高质量发展。一是巩固拓展脱贫攻坚成果，继续帮扶符合条件的困难人员应保尽保，全面实施全民参保计划，通过加大政策宣传力度、做好参保服务工作等方式，积极组织引导未参保人员参保。二是在推动各级政府尽力而为、量力而行提高城乡居民基础养老金的同时，通过提高个人缴费最低档次标准并调整缴费补贴等方式，积极引导有条件的参保人多缴费，推动各地提高城乡居民基本养老保险基金投资运营效益，增强个人账户养老金支付能力。三是认真做好基金管理问题专项整治工作，针对城乡居民基本养老保险点多、面广、服务对象众多、主要管理服务在基层等特点，全面加强人防、技防、协防，坚决守住参保人的养老钱。在推进完善从中央到地方五级社会保障管理组织体系和服务网络的同时，充分利用全国统一的社会保险公共服务平台和互联网、大数据、云计算等信息技术创新服务模式，坚持传统服务方式和智能化服务创新并行，针对老年人、残疾人等群体的特点，提供更加贴心暖心的服务。</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根据《关于提前下达2024年自治区财政城乡居民基本养老保险补助资金预算的通知》克财社【2023】94号文件，确保符合条件的城乡居民基础养老金按时足额发放。</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社会保险中心,实施单位为阿图什市社会保险中心，主要职责：项目实施过程中严格按照实施方案进行实施并及阿图什市社会保险中心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1781</w:t>
      </w:r>
      <w:r>
        <w:rPr>
          <w:rStyle w:val="11"/>
          <w:rFonts w:hint="eastAsia" w:ascii="仿宋_GB2312" w:hAnsi="仿宋_GB2312" w:cs="仿宋_GB2312"/>
          <w:b w:val="0"/>
          <w:bCs w:val="0"/>
          <w:color w:val="auto"/>
          <w:spacing w:val="-4"/>
          <w:sz w:val="32"/>
          <w:szCs w:val="30"/>
          <w:highlight w:val="none"/>
        </w:rPr>
        <w:t>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1781</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自治区财政城乡居民基本养老保险补助</w:t>
      </w:r>
      <w:r>
        <w:rPr>
          <w:rStyle w:val="11"/>
          <w:rFonts w:hint="eastAsia" w:ascii="仿宋_GB2312"/>
          <w:b w:val="0"/>
          <w:color w:val="auto"/>
          <w:spacing w:val="-4"/>
          <w:sz w:val="32"/>
          <w:highlight w:val="none"/>
          <w:lang w:val="en-US" w:eastAsia="zh-CN"/>
        </w:rPr>
        <w:t>成本：1781万元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年度总体目标为：根据《关于提前下达2024年自治区财政城乡居民基本养老保险补助资金预算的通知》克财社【2023】94号文件，确保符合条件的城乡居民基础养老金按时足额发放。</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2024年自治区财政城乡居民基本养老保险补助资金</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2024年自治区财政城乡居民基本养老保险补助资金</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2024年自治区财政城乡居民基本养老保险补助资金</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2024年自治区财政城乡居民基本养老保险补助资金</w:t>
      </w:r>
      <w:r>
        <w:rPr>
          <w:rFonts w:hint="eastAsia" w:ascii="仿宋_GB2312" w:hAnsi="仿宋_GB2312" w:cs="仿宋_GB2312"/>
          <w:color w:val="auto"/>
          <w:sz w:val="32"/>
          <w:highlight w:val="none"/>
        </w:rPr>
        <w:t>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2024年自治区财政城乡居民基本养老保险补助资金</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朱星晓</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于芳</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葛艳秋</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财政城乡居民基本养老保险补助资金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组织管理、产出与效益效果。在此基础上，以相关的项目数据为基础，综合运用不同的评价方法，结合评价标准和评分规则，2024年自治区财政城乡居民基本养老保险补助资金综合得分为100分，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2024年自治区财政城乡居民基本养老保险补助资金</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2024年自治区财政城乡居民基本养老保险补助资金</w:t>
      </w:r>
      <w:r>
        <w:rPr>
          <w:rFonts w:hint="eastAsia" w:ascii="仿宋_GB2312" w:hAnsi="仿宋_GB2312" w:cs="仿宋_GB2312"/>
          <w:color w:val="auto"/>
          <w:sz w:val="32"/>
          <w:szCs w:val="32"/>
          <w:highlight w:val="none"/>
        </w:rPr>
        <w:t>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年已完成保障人数（年初预算人数）不少于95%，社保经办机构基础养老金年发放期限12个月等工作；通过该项目的实施确保符合条件的城乡居民基础养老金按时足额发放。</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 w:cs="宋体"/>
          <w:color w:val="auto"/>
          <w:kern w:val="0"/>
          <w:sz w:val="32"/>
          <w:szCs w:val="32"/>
          <w:highlight w:val="none"/>
          <w:lang w:eastAsia="zh-CN"/>
        </w:rPr>
        <w:t>2024年自治区财政城乡居民基本养老保险补助资金</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1781</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自治区财政城乡居民基本养老保险补助资金</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2024年自治区财政城乡居民基本养老保险补助资金</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2024年自治区财政城乡居民基本养老保险补助资金</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2024年自治区财政城乡居民基本养老保险补助资金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2024年自治区财政城乡居民基本养老保险补助资金</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数量指标为保障人数（年初预算人数），预期指标值是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95%，实际完成值是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95%，指标达到预期目标。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数量指标为社保经办机构基础养老金年发放期限，预期指标值是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质量指标为符合条件的城乡老年居民足额发放率，预期指标值是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质量指标为缴费补贴到位率，预期指标值是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质量指标为基础养老金发放准确率，预期指标值是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ascii="仿宋_GB2312"/>
          <w:color w:val="auto"/>
          <w:sz w:val="32"/>
          <w:szCs w:val="32"/>
          <w:highlight w:val="none"/>
        </w:rPr>
      </w:pPr>
      <w:r>
        <w:rPr>
          <w:rFonts w:hint="eastAsia" w:ascii="仿宋_GB2312"/>
          <w:color w:val="auto"/>
          <w:sz w:val="32"/>
          <w:szCs w:val="32"/>
          <w:highlight w:val="none"/>
        </w:rPr>
        <w:t>时效指标为符合条件的城乡老年居民按时发放率，预期指标值是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为城乡居民基本养老保险制度长期可持续，预期指标值是长期，实际完成值是长期，指标达到预期目标。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满意度指标为领取待遇人员满意度，预期指标值是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val="en-US" w:eastAsia="zh-CN"/>
        </w:rPr>
        <w:t>1781</w:t>
      </w:r>
      <w:r>
        <w:rPr>
          <w:rFonts w:hint="eastAsia"/>
          <w:color w:val="auto"/>
          <w:sz w:val="32"/>
          <w:highlight w:val="none"/>
        </w:rPr>
        <w:t>万元，执行数</w:t>
      </w:r>
      <w:r>
        <w:rPr>
          <w:rFonts w:hint="eastAsia"/>
          <w:color w:val="auto"/>
          <w:sz w:val="32"/>
          <w:highlight w:val="none"/>
          <w:lang w:val="en-US" w:eastAsia="zh-CN"/>
        </w:rPr>
        <w:t>1781</w:t>
      </w:r>
      <w:r>
        <w:rPr>
          <w:rFonts w:hint="eastAsia"/>
          <w:color w:val="auto"/>
          <w:sz w:val="32"/>
          <w:highlight w:val="none"/>
        </w:rPr>
        <w:t>万元，执行率</w:t>
      </w:r>
      <w:r>
        <w:rPr>
          <w:rFonts w:hint="eastAsia"/>
          <w:color w:val="auto"/>
          <w:sz w:val="32"/>
          <w:highlight w:val="none"/>
          <w:lang w:val="en-US" w:eastAsia="zh-CN"/>
        </w:rPr>
        <w:t>100</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0</w:t>
      </w:r>
      <w:r>
        <w:rPr>
          <w:rFonts w:hint="eastAsia"/>
          <w:color w:val="auto"/>
          <w:sz w:val="32"/>
          <w:highlight w:val="none"/>
        </w:rPr>
        <w:t>%。</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11E26"/>
    <w:multiLevelType w:val="multilevel"/>
    <w:tmpl w:val="68D11E26"/>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11E31"/>
    <w:multiLevelType w:val="singleLevel"/>
    <w:tmpl w:val="68D11E31"/>
    <w:lvl w:ilvl="0" w:tentative="0">
      <w:start w:val="3"/>
      <w:numFmt w:val="decimal"/>
      <w:suff w:val="nothing"/>
      <w:lvlText w:val="%1．"/>
      <w:lvlJc w:val="left"/>
      <w:rPr>
        <w:rFonts w:hint="default"/>
        <w:b/>
        <w:bCs/>
        <w:color w:val="auto"/>
      </w:rPr>
    </w:lvl>
  </w:abstractNum>
  <w:abstractNum w:abstractNumId="2">
    <w:nsid w:val="68D11E3C"/>
    <w:multiLevelType w:val="singleLevel"/>
    <w:tmpl w:val="68D11E3C"/>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406102D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qFormat/>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8B51E5996828467DB60A6D30403B70D3_13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e7fe2-c32f-4748-8e09-7b5034c47ac6}">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12</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2025-09-22T09:58:51Z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8B51E5996828467DB60A6D30403B70D3_13</vt:lpwstr>
  </property>
  <property fmtid="{D5CDD505-2E9C-101B-9397-08002B2CF9AE}" pid="4" name="KSOTemplateDocerSaveRecord">
    <vt:lpwstr>eyJoZGlkIjoiYzZkNzQ4ZWFiZmQ4NTRhOWRkZTk3YTMwMjlmMmZhYmUiLCJ1c2VySWQiOiI1NzgxMjU4NDIifQ_x003D__x003D_</vt:lpwstr>
  </property>
</Properties>
</file>