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阿图什市卫生健康委员会2024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办公室。负责机关日常运转，承担保密、信访、政务公开、督办、档案等工作；承担预决算、财务、资产管理和内部审计工作；统筹管理和监督阿图什市卫生健康专项资金；负责机关及系统党的建设、党风廉政工作；承担干部人事、机构编制、队伍建设和绩效管理等工作；指导公立医院党建工作；组织开展卫生健康宣传、健康教育、健康促进活动，承担卫生健康科学普及、</w:t>
      </w:r>
      <w:r>
        <w:rPr>
          <w:rFonts w:hint="eastAsia" w:ascii="仿宋_GB2312" w:hAnsi="仿宋_GB2312" w:eastAsia="仿宋_GB2312"/>
          <w:sz w:val="32"/>
          <w:lang w:eastAsia="zh-CN"/>
        </w:rPr>
        <w:t>JHSY</w:t>
      </w:r>
      <w:r>
        <w:rPr>
          <w:rFonts w:ascii="仿宋_GB2312" w:hAnsi="仿宋_GB2312" w:eastAsia="仿宋_GB2312"/>
          <w:sz w:val="32"/>
        </w:rPr>
        <w:t>政策宣传、新闻和信息发布以及对外宣传工作；贯彻执行国家、自治区法律法规、规章。</w:t>
      </w:r>
    </w:p>
    <w:p>
      <w:pPr>
        <w:spacing w:line="580" w:lineRule="exact"/>
        <w:ind w:firstLine="640"/>
        <w:jc w:val="both"/>
      </w:pPr>
      <w:r>
        <w:rPr>
          <w:rFonts w:ascii="仿宋_GB2312" w:hAnsi="仿宋_GB2312" w:eastAsia="仿宋_GB2312"/>
          <w:sz w:val="32"/>
        </w:rPr>
        <w:t>（二）体制改革办。承担深化医药卫生体制改</w:t>
      </w:r>
      <w:r>
        <w:rPr>
          <w:rFonts w:hint="eastAsia" w:ascii="仿宋_GB2312" w:hAnsi="仿宋_GB2312" w:eastAsia="仿宋_GB2312"/>
          <w:sz w:val="32"/>
          <w:lang w:eastAsia="zh-CN"/>
        </w:rPr>
        <w:t>革的</w:t>
      </w:r>
      <w:r>
        <w:rPr>
          <w:rFonts w:ascii="仿宋_GB2312" w:hAnsi="仿宋_GB2312" w:eastAsia="仿宋_GB2312"/>
          <w:sz w:val="32"/>
        </w:rPr>
        <w:t>具体工作，研究提出深化医药卫生体制改革重大方针、政策、措施的建议；承担组织推进公立医院综合改革工作，组织协调和督促机关内部有关深化改革、推进医改、促进健康服务业发展等工作，以及与相关部门进行工作联络。</w:t>
      </w:r>
    </w:p>
    <w:p>
      <w:pPr>
        <w:spacing w:line="580" w:lineRule="exact"/>
        <w:ind w:firstLine="640"/>
        <w:jc w:val="both"/>
      </w:pPr>
      <w:r>
        <w:rPr>
          <w:rFonts w:ascii="仿宋_GB2312" w:hAnsi="仿宋_GB2312" w:eastAsia="仿宋_GB2312"/>
          <w:sz w:val="32"/>
        </w:rPr>
        <w:t>（三）医政医管与药政室。贯彻执行国家医疗机构、医疗技术应用、医疗质量和安全、医疗服务以及行风建设等行业管理政策规范、标准。承担推进护理、康复事业发展工作；负责医学会、执业资格考试、医院管理工作；负责阿图什市保健对象的医疗保健工作，以及阿图什市重要会议和重大活动的医疗卫生保障工作；拟订卫生健康科技发展规划及相关政策并组织实施；承担实验室生物安全监督工作；组织开展住院医师、专科医师培训等毕业后医学教育和继续教育工作；贯彻落实国家药物政策和国家基本药物制度，执行国家药品法典和国家基本药物目录，落实基本药物增补目录，开展药品使用监测、临床综合评价和短缺药品</w:t>
      </w:r>
      <w:r>
        <w:rPr>
          <w:rFonts w:hint="eastAsia" w:ascii="仿宋_GB2312" w:hAnsi="仿宋_GB2312" w:eastAsia="仿宋_GB2312"/>
          <w:sz w:val="32"/>
          <w:lang w:val="en-US" w:eastAsia="zh-CN"/>
        </w:rPr>
        <w:t>YJ</w:t>
      </w:r>
      <w:r>
        <w:rPr>
          <w:rFonts w:ascii="仿宋_GB2312" w:hAnsi="仿宋_GB2312" w:eastAsia="仿宋_GB2312"/>
          <w:sz w:val="32"/>
        </w:rPr>
        <w:t>；负责对口援疆工作；拟订有关中医药地方性规章，组织实施并监督检查；负责拟订有关促进中医药产业化发展的相关政策。</w:t>
      </w:r>
    </w:p>
    <w:p>
      <w:pPr>
        <w:spacing w:line="580" w:lineRule="exact"/>
        <w:ind w:firstLine="640"/>
        <w:jc w:val="both"/>
      </w:pPr>
      <w:r>
        <w:rPr>
          <w:rFonts w:ascii="仿宋_GB2312" w:hAnsi="仿宋_GB2312" w:eastAsia="仿宋_GB2312"/>
          <w:sz w:val="32"/>
        </w:rPr>
        <w:t>（四）基层卫生室。落实基层卫生健康政策、标准和规范，负责推进基层卫生院标准化建设，指导基层卫生健康服务体系建设和乡村医生相关管理工作；负责承担健康阿图什市战略协调推进工作，组织拟订卫生健康事业发展中长期规划，指导阿图什市卫生健康服务体系及信息化建设；制定并组织实施推进卫生健康基本公共服务均等化、普惠化、便捷化和公共资源向基层延伸等政策措施；负责拟订阿图什市应对人口老龄化、医养结合政策措施，综合协调、督促指导、组织推进阿图什市老龄事业发展；承担卫生项目组织与规划实施工作；组织开展爱国卫生运动和卫生健康统计工作。</w:t>
      </w:r>
    </w:p>
    <w:p>
      <w:pPr>
        <w:spacing w:line="580" w:lineRule="exact"/>
        <w:ind w:firstLine="640"/>
        <w:jc w:val="both"/>
      </w:pPr>
      <w:r>
        <w:rPr>
          <w:rFonts w:ascii="仿宋_GB2312" w:hAnsi="仿宋_GB2312" w:eastAsia="仿宋_GB2312"/>
          <w:sz w:val="32"/>
        </w:rPr>
        <w:t>（五）疾病防控与卫生应急室。拟订重大疾病防治规划、免疫规划和严重危害人民健康的公共卫生问题的干预措施并组织实施；完善疾病防控体系，承担</w:t>
      </w:r>
      <w:r>
        <w:rPr>
          <w:rFonts w:hint="eastAsia" w:ascii="仿宋_GB2312" w:hAnsi="仿宋_GB2312" w:eastAsia="仿宋_GB2312"/>
          <w:sz w:val="32"/>
          <w:lang w:val="en-US" w:eastAsia="zh-CN"/>
        </w:rPr>
        <w:t>CRBYQ</w:t>
      </w:r>
      <w:r>
        <w:rPr>
          <w:rFonts w:ascii="仿宋_GB2312" w:hAnsi="仿宋_GB2312" w:eastAsia="仿宋_GB2312"/>
          <w:sz w:val="32"/>
        </w:rPr>
        <w:t>信息发布工作；承担卫生应急和紧急医学救援工作，组织编制专项预案，承担预案演练的组织实施和指导监督工作；指导和推进卫生应急体系和能力建设；指导协调突发公共卫生事件的处置救援、总结评估等工作；发布突发公共卫生事件应急处置信息；负责卫生健康系统安全生产工作；承担《烟草控制框架公约》牵头履约工作。</w:t>
      </w:r>
    </w:p>
    <w:p>
      <w:pPr>
        <w:spacing w:line="580" w:lineRule="exact"/>
        <w:ind w:firstLine="640"/>
        <w:jc w:val="both"/>
      </w:pPr>
      <w:r>
        <w:rPr>
          <w:rFonts w:ascii="仿宋_GB2312" w:hAnsi="仿宋_GB2312" w:eastAsia="仿宋_GB2312"/>
          <w:sz w:val="32"/>
        </w:rPr>
        <w:t>（六）妇幼与</w:t>
      </w:r>
      <w:r>
        <w:rPr>
          <w:rFonts w:hint="eastAsia" w:ascii="仿宋_GB2312" w:hAnsi="仿宋_GB2312" w:eastAsia="仿宋_GB2312"/>
          <w:sz w:val="32"/>
          <w:lang w:eastAsia="zh-CN"/>
        </w:rPr>
        <w:t>JHSY</w:t>
      </w:r>
      <w:r>
        <w:rPr>
          <w:rFonts w:ascii="仿宋_GB2312" w:hAnsi="仿宋_GB2312" w:eastAsia="仿宋_GB2312"/>
          <w:sz w:val="32"/>
        </w:rPr>
        <w:t>室。承担人口监测预警工作并提出人口与家庭发展相关政策建议，参与制定人口发展规划和政策，负责贯彻落实国家、自治区生育政策；负责研究提出与</w:t>
      </w:r>
      <w:r>
        <w:rPr>
          <w:rFonts w:hint="eastAsia" w:ascii="仿宋_GB2312" w:hAnsi="仿宋_GB2312" w:eastAsia="仿宋_GB2312"/>
          <w:sz w:val="32"/>
          <w:lang w:eastAsia="zh-CN"/>
        </w:rPr>
        <w:t>JHSY</w:t>
      </w:r>
      <w:r>
        <w:rPr>
          <w:rFonts w:ascii="仿宋_GB2312" w:hAnsi="仿宋_GB2312" w:eastAsia="仿宋_GB2312"/>
          <w:sz w:val="32"/>
        </w:rPr>
        <w:t>相关的人口总量、素质、结构、分布方面的建议；指导和督促基层加强</w:t>
      </w:r>
      <w:r>
        <w:rPr>
          <w:rFonts w:hint="eastAsia" w:ascii="仿宋_GB2312" w:hAnsi="仿宋_GB2312" w:eastAsia="仿宋_GB2312"/>
          <w:sz w:val="32"/>
          <w:lang w:eastAsia="zh-CN"/>
        </w:rPr>
        <w:t>JHSY</w:t>
      </w:r>
      <w:r>
        <w:rPr>
          <w:rFonts w:ascii="仿宋_GB2312" w:hAnsi="仿宋_GB2312" w:eastAsia="仿宋_GB2312"/>
          <w:sz w:val="32"/>
        </w:rPr>
        <w:t>基础管理和服务工作，推进基层</w:t>
      </w:r>
      <w:r>
        <w:rPr>
          <w:rFonts w:hint="eastAsia" w:ascii="仿宋_GB2312" w:hAnsi="仿宋_GB2312" w:eastAsia="仿宋_GB2312"/>
          <w:sz w:val="32"/>
          <w:lang w:eastAsia="zh-CN"/>
        </w:rPr>
        <w:t>JHSY</w:t>
      </w:r>
      <w:r>
        <w:rPr>
          <w:rFonts w:ascii="仿宋_GB2312" w:hAnsi="仿宋_GB2312" w:eastAsia="仿宋_GB2312"/>
          <w:sz w:val="32"/>
        </w:rPr>
        <w:t>工作网络建设，组织实施</w:t>
      </w:r>
      <w:r>
        <w:rPr>
          <w:rFonts w:hint="eastAsia" w:ascii="仿宋_GB2312" w:hAnsi="仿宋_GB2312" w:eastAsia="仿宋_GB2312"/>
          <w:sz w:val="32"/>
          <w:lang w:eastAsia="zh-CN"/>
        </w:rPr>
        <w:t>JHSY</w:t>
      </w:r>
      <w:r>
        <w:rPr>
          <w:rFonts w:ascii="仿宋_GB2312" w:hAnsi="仿宋_GB2312" w:eastAsia="仿宋_GB2312"/>
          <w:sz w:val="32"/>
        </w:rPr>
        <w:t>目标管理责任制考核工作；组织全员人口统计工作；负责卫生和</w:t>
      </w:r>
      <w:r>
        <w:rPr>
          <w:rFonts w:hint="eastAsia" w:ascii="仿宋_GB2312" w:hAnsi="仿宋_GB2312" w:eastAsia="仿宋_GB2312"/>
          <w:sz w:val="32"/>
          <w:lang w:eastAsia="zh-CN"/>
        </w:rPr>
        <w:t>JHSY</w:t>
      </w:r>
      <w:r>
        <w:rPr>
          <w:rFonts w:ascii="仿宋_GB2312" w:hAnsi="仿宋_GB2312" w:eastAsia="仿宋_GB2312"/>
          <w:sz w:val="32"/>
        </w:rPr>
        <w:t>政策宣传普及；执行妇幼卫生健康政策、标准和规范，推进妇幼卫生健康服务体系建设，指导妇幼卫生、出生缺陷防治、婴幼儿早期发展和生育技术服务工作。</w:t>
      </w:r>
    </w:p>
    <w:p>
      <w:pPr>
        <w:spacing w:line="580" w:lineRule="exact"/>
        <w:ind w:firstLine="640"/>
        <w:jc w:val="both"/>
      </w:pPr>
      <w:r>
        <w:rPr>
          <w:rFonts w:ascii="仿宋_GB2312" w:hAnsi="仿宋_GB2312" w:eastAsia="仿宋_GB2312"/>
          <w:sz w:val="32"/>
        </w:rPr>
        <w:t>（七）综合监督室。承担公共卫生、饮用水卫生、</w:t>
      </w:r>
      <w:r>
        <w:rPr>
          <w:rFonts w:hint="eastAsia" w:ascii="仿宋_GB2312" w:hAnsi="仿宋_GB2312" w:eastAsia="仿宋_GB2312"/>
          <w:sz w:val="32"/>
          <w:lang w:eastAsia="zh-CN"/>
        </w:rPr>
        <w:t>JHSY</w:t>
      </w:r>
      <w:r>
        <w:rPr>
          <w:rFonts w:ascii="仿宋_GB2312" w:hAnsi="仿宋_GB2312" w:eastAsia="仿宋_GB2312"/>
          <w:sz w:val="32"/>
        </w:rPr>
        <w:t>等监督工作，查处医疗服务市场违法行为；组织开展学校卫生、公共场所卫生、饮用水卫生、</w:t>
      </w:r>
      <w:r>
        <w:rPr>
          <w:rFonts w:hint="eastAsia" w:ascii="仿宋_GB2312" w:hAnsi="仿宋_GB2312" w:eastAsia="仿宋_GB2312"/>
          <w:sz w:val="32"/>
          <w:lang w:val="en-US" w:eastAsia="zh-CN"/>
        </w:rPr>
        <w:t>CRB</w:t>
      </w:r>
      <w:r>
        <w:rPr>
          <w:rFonts w:ascii="仿宋_GB2312" w:hAnsi="仿宋_GB2312" w:eastAsia="仿宋_GB2312"/>
          <w:sz w:val="32"/>
        </w:rPr>
        <w:t>防治监督检查；完善综合监督体系，组织开展食品安全风险监测、评估；组织实施职业卫生、放射卫生相关标准；开展重点职业病监测、专项调查、职业健康风险评估和职业人群健康管理工作；协调开展职业病防治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阿图什市卫生健康委员会2024年度，实有人数57人，其中：在职人员25人，增加2人；离休人员0人，增加0人；退休人员32人,增加0人。</w:t>
      </w:r>
    </w:p>
    <w:p>
      <w:pPr>
        <w:spacing w:line="580" w:lineRule="exact"/>
        <w:ind w:firstLine="640"/>
        <w:jc w:val="both"/>
      </w:pPr>
      <w:r>
        <w:rPr>
          <w:rFonts w:ascii="仿宋_GB2312" w:hAnsi="仿宋_GB2312" w:eastAsia="仿宋_GB2312"/>
          <w:sz w:val="32"/>
        </w:rPr>
        <w:t>阿图什市卫生健康委员会无下属预算单位，下设5个科室，分别是：办公室、医政医管与药政室、基层卫生室、疾病防控与卫生应急室、综合监督室。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2024年度收入总计5,782.01万元，</w:t>
      </w:r>
      <w:r>
        <w:rPr>
          <w:rFonts w:ascii="仿宋_GB2312" w:hAnsi="仿宋_GB2312" w:eastAsia="仿宋_GB2312"/>
          <w:b w:val="0"/>
          <w:sz w:val="32"/>
        </w:rPr>
        <w:t>其中：本年收入合计5,545.42万元，使用非财政拨款结余（含专用结余）0.00万元，年初结转和结余236.59万元。</w:t>
      </w:r>
    </w:p>
    <w:p>
      <w:pPr>
        <w:spacing w:line="580" w:lineRule="exact"/>
        <w:ind w:firstLine="640"/>
        <w:jc w:val="both"/>
      </w:pPr>
      <w:r>
        <w:rPr>
          <w:rFonts w:ascii="仿宋_GB2312" w:hAnsi="仿宋_GB2312" w:eastAsia="仿宋_GB2312"/>
          <w:b/>
          <w:sz w:val="32"/>
        </w:rPr>
        <w:t>2024年度支出总计5,782.01万元，</w:t>
      </w:r>
      <w:r>
        <w:rPr>
          <w:rFonts w:ascii="仿宋_GB2312" w:hAnsi="仿宋_GB2312" w:eastAsia="仿宋_GB2312"/>
          <w:b w:val="0"/>
          <w:sz w:val="32"/>
        </w:rPr>
        <w:t>其中：本年支出合计5,743.49万元，结余分配0.00万元，年末结转和结余38.52万元。</w:t>
      </w:r>
    </w:p>
    <w:p>
      <w:pPr>
        <w:spacing w:line="580" w:lineRule="exact"/>
        <w:ind w:firstLine="640"/>
        <w:jc w:val="both"/>
      </w:pPr>
      <w:r>
        <w:rPr>
          <w:rFonts w:ascii="仿宋_GB2312" w:hAnsi="仿宋_GB2312" w:eastAsia="仿宋_GB2312"/>
          <w:b w:val="0"/>
          <w:sz w:val="32"/>
        </w:rPr>
        <w:t>收入支出总体与上年相比，减少8,879.10万元，下降60.56%，主要原因是：一是本年减少精神病防控配套资金、爱卫办工作配套资金、2020年1月-2021年12月职业年金拨付项目（市人民医院）、孕妇产前免费筛查工作经费、2017年10月-2023年10月药品进销补助项目（市人民医院）等；二是YQ防控资金较上年大幅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本年收入5,545.42万元，</w:t>
      </w:r>
      <w:r>
        <w:rPr>
          <w:rFonts w:ascii="仿宋_GB2312" w:hAnsi="仿宋_GB2312" w:eastAsia="仿宋_GB2312"/>
          <w:b w:val="0"/>
          <w:sz w:val="32"/>
        </w:rPr>
        <w:t>其中：财政拨款收入3,910.88万元，占70.52%；上级补助收入0.00万元，占0.00%；事业收入0.00万元，占0.00%；经营收入0.00万元，占0.00%；附属单位上缴收入0.00万元，占0.00%；其他收入1,634.54万元，占29.48%。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本年支出5,743.49万元，</w:t>
      </w:r>
      <w:r>
        <w:rPr>
          <w:rFonts w:ascii="仿宋_GB2312" w:hAnsi="仿宋_GB2312" w:eastAsia="仿宋_GB2312"/>
          <w:b w:val="0"/>
          <w:sz w:val="32"/>
        </w:rPr>
        <w:t>其中：基本支出443.38万元，占7.72%；项目支出5,300.12万元，占92.28%；上缴上级支出0.00万元，占0.00%；经营支出0.00万元，占0.00%；对附属单位补助支出0.00万元，占0.00%。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2024年度财政拨款收入总计3,910.88万元，</w:t>
      </w:r>
      <w:r>
        <w:rPr>
          <w:rFonts w:ascii="仿宋_GB2312" w:hAnsi="仿宋_GB2312" w:eastAsia="仿宋_GB2312"/>
          <w:b w:val="0"/>
          <w:sz w:val="32"/>
        </w:rPr>
        <w:t>其中：年初财政拨款结转和结余0.00万元，本年财政拨款收入3,910.88万元。</w:t>
      </w:r>
      <w:r>
        <w:rPr>
          <w:rFonts w:ascii="仿宋_GB2312" w:hAnsi="仿宋_GB2312" w:eastAsia="仿宋_GB2312"/>
          <w:b/>
          <w:sz w:val="32"/>
        </w:rPr>
        <w:t>财政拨款支出总计3,910.88万元，</w:t>
      </w:r>
      <w:r>
        <w:rPr>
          <w:rFonts w:ascii="仿宋_GB2312" w:hAnsi="仿宋_GB2312" w:eastAsia="仿宋_GB2312"/>
          <w:b w:val="0"/>
          <w:sz w:val="32"/>
        </w:rPr>
        <w:t>其中：年末财政拨款结转和结余0.00万元，本年财政拨款支出3,910.88万元。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6,727.06万元，下降63.24%，主要原因是：一是本年减少精神病防控配套资金、爱卫办工作配套资金、2020年1月-2021年12月职业年金拨付项目（市人民医院）、孕妇产前免费筛查工作经费、2017年10月-2023年10月药品进销补助项目（市人民医院）等；二是YQ防控资金较上年大幅减少。</w:t>
      </w:r>
      <w:r>
        <w:rPr>
          <w:rFonts w:ascii="仿宋_GB2312" w:hAnsi="仿宋_GB2312" w:eastAsia="仿宋_GB2312"/>
          <w:b/>
          <w:sz w:val="32"/>
        </w:rPr>
        <w:t>与年初预算相比，</w:t>
      </w:r>
      <w:r>
        <w:rPr>
          <w:rFonts w:ascii="仿宋_GB2312" w:hAnsi="仿宋_GB2312" w:eastAsia="仿宋_GB2312"/>
          <w:b w:val="0"/>
          <w:sz w:val="32"/>
        </w:rPr>
        <w:t>年初预算数9,337.07万元，决算数3,910.88万元，预决算差异率-58.11%，主要原因是：精神病防控配套资金、爱卫办工作配套资金、2020年1月-2021年12月职业年金拨付项目（市人民医院）、孕妇产前免费筛查工作经费、2017年10月-2023年10月药品进销补助项目（市人民医院）本年未执行，年中调减以上项目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2024年度一般公共预算财政拨款支出3,878.85万元，</w:t>
      </w:r>
      <w:r>
        <w:rPr>
          <w:rFonts w:ascii="仿宋_GB2312" w:hAnsi="仿宋_GB2312" w:eastAsia="仿宋_GB2312"/>
          <w:b w:val="0"/>
          <w:sz w:val="32"/>
        </w:rPr>
        <w:t>占本年支出合计的67.53%。</w:t>
      </w:r>
      <w:r>
        <w:rPr>
          <w:rFonts w:ascii="仿宋_GB2312" w:hAnsi="仿宋_GB2312" w:eastAsia="仿宋_GB2312"/>
          <w:b/>
          <w:sz w:val="32"/>
        </w:rPr>
        <w:t>与上年相比，</w:t>
      </w:r>
      <w:r>
        <w:rPr>
          <w:rFonts w:ascii="仿宋_GB2312" w:hAnsi="仿宋_GB2312" w:eastAsia="仿宋_GB2312"/>
          <w:b w:val="0"/>
          <w:sz w:val="32"/>
        </w:rPr>
        <w:t>减少6,759.09万元，下降63.54%，主要原因是：一是本年减少精神病防控配套资金、爱卫办工作配套资金、2020年1月-2021年12月职业年金拨付项目（市人民医院）、孕妇产前免费筛查工作经费、2017年10月-2023年10月药品进销补助项目（市人民医院）等；二是YQ防控资金较上年大幅减少。</w:t>
      </w:r>
      <w:r>
        <w:rPr>
          <w:rFonts w:ascii="仿宋_GB2312" w:hAnsi="仿宋_GB2312" w:eastAsia="仿宋_GB2312"/>
          <w:b/>
          <w:sz w:val="32"/>
        </w:rPr>
        <w:t>与年初预算相比,</w:t>
      </w:r>
      <w:r>
        <w:rPr>
          <w:rFonts w:ascii="仿宋_GB2312" w:hAnsi="仿宋_GB2312" w:eastAsia="仿宋_GB2312"/>
          <w:b w:val="0"/>
          <w:sz w:val="32"/>
        </w:rPr>
        <w:t>年初预算数9,311.07万元，决算数3,878.85万元，预决算差异率-58.34%，主要原因是：精神病防控配套资金、爱卫办工作配套资金、2020年1月-2021年12月职业年金拨付项目（市人民医院）、孕妇产前免费筛查工作经费、2017年10月-2023年10月药品进销补助项目（市人民医院）本年未执行，年中调减以上项目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1.一般公共服务支出(类)2.14万元,占0.06%。</w:t>
      </w:r>
    </w:p>
    <w:p>
      <w:pPr>
        <w:spacing w:line="580" w:lineRule="exact"/>
        <w:ind w:firstLine="640"/>
        <w:jc w:val="both"/>
      </w:pPr>
      <w:r>
        <w:rPr>
          <w:rFonts w:ascii="仿宋_GB2312" w:hAnsi="仿宋_GB2312" w:eastAsia="仿宋_GB2312"/>
          <w:b w:val="0"/>
          <w:sz w:val="32"/>
        </w:rPr>
        <w:t>2.社会保障和就业支出(类)86.20万元,占2.22%。</w:t>
      </w:r>
    </w:p>
    <w:p>
      <w:pPr>
        <w:spacing w:line="580" w:lineRule="exact"/>
        <w:ind w:firstLine="640"/>
        <w:jc w:val="both"/>
      </w:pPr>
      <w:r>
        <w:rPr>
          <w:rFonts w:ascii="仿宋_GB2312" w:hAnsi="仿宋_GB2312" w:eastAsia="仿宋_GB2312"/>
          <w:b w:val="0"/>
          <w:sz w:val="32"/>
        </w:rPr>
        <w:t>3.卫生健康支出(类)3,758.41万元,占96.89%。</w:t>
      </w:r>
    </w:p>
    <w:p>
      <w:pPr>
        <w:spacing w:line="580" w:lineRule="exact"/>
        <w:ind w:firstLine="640"/>
        <w:jc w:val="both"/>
      </w:pPr>
      <w:r>
        <w:rPr>
          <w:rFonts w:ascii="仿宋_GB2312" w:hAnsi="仿宋_GB2312" w:eastAsia="仿宋_GB2312"/>
          <w:b w:val="0"/>
          <w:sz w:val="32"/>
        </w:rPr>
        <w:t>4.住房保障支出(类)32.09万元,占0.83%。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1.一般公共服务支出(类)组织事务(款)其他组织事务支出(项):支出决算数为2.14万元，比上年决算减少1.74万元，下降44.85%,主要原因是：本年第一书记为民办事经费较上年减少。</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2.社会保障和就业支出(类)行政事业单位养老支出(款)行政单位离退休(项):支出决算数为43.84万元，比上年决算增加6.84万元，增长18.49%,主要原因是：本年增加退休人员基础绩效奖，退休费支出增加。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3.社会保障和就业支出(类)行政事业单位养老支出(款)事业单位离退休(项):支出决算数为2.76万元，比上年决算增加0.42万元，增长17.95%,主要原因是：本年增加退休人员基础绩效奖，退休费支出增加。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39.61万元，比上年决算增加1.26万元，增长3.29%,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0.00万元，比上年决算减少25.27万元，下降100.00%,主要原因是：本年无退休及调出市外人员，减少职业年金缴费。</w:t>
      </w:r>
    </w:p>
    <w:p>
      <w:pPr>
        <w:spacing w:line="580" w:lineRule="exact"/>
        <w:ind w:firstLine="640"/>
        <w:jc w:val="both"/>
        <w:rPr>
          <w:rFonts w:hint="default" w:eastAsia="仿宋_GB2312"/>
          <w:lang w:val="en-US" w:eastAsia="zh-CN"/>
        </w:rPr>
      </w:pPr>
      <w:r>
        <w:rPr>
          <w:rFonts w:ascii="仿宋_GB2312" w:hAnsi="仿宋_GB2312" w:eastAsia="仿宋_GB2312"/>
          <w:b w:val="0"/>
          <w:sz w:val="32"/>
        </w:rPr>
        <w:t>6.卫生健康支出(类)卫生健康管理事务(款)行政运行(项):支出决算数为208.29万元，比上年决算减少21.41万元，下降9.32%,主要原因是：本年在职人员调入调出，人员职级不同，工资基数不同，导致人员经费较上年减少。</w:t>
      </w:r>
      <w:r>
        <w:rPr>
          <w:rFonts w:hint="eastAsia" w:ascii="仿宋_GB2312" w:hAnsi="仿宋_GB2312" w:eastAsia="仿宋_GB2312"/>
          <w:b w:val="0"/>
          <w:sz w:val="32"/>
          <w:lang w:val="en-US" w:eastAsia="zh-CN"/>
        </w:rPr>
        <w:t>取暖费支出，</w:t>
      </w:r>
      <w:r>
        <w:rPr>
          <w:rFonts w:ascii="仿宋_GB2312" w:hAnsi="仿宋_GB2312" w:eastAsia="仿宋_GB2312"/>
          <w:b w:val="0"/>
          <w:sz w:val="32"/>
        </w:rPr>
        <w:t>公务用车运行维护费</w:t>
      </w:r>
      <w:r>
        <w:rPr>
          <w:rFonts w:hint="eastAsia" w:ascii="仿宋_GB2312" w:hAnsi="仿宋_GB2312" w:eastAsia="仿宋_GB2312"/>
          <w:b w:val="0"/>
          <w:sz w:val="32"/>
          <w:lang w:val="en-US" w:eastAsia="zh-CN"/>
        </w:rPr>
        <w:t>较上年减少</w:t>
      </w:r>
    </w:p>
    <w:p>
      <w:pPr>
        <w:spacing w:line="580" w:lineRule="exact"/>
        <w:ind w:firstLine="640"/>
        <w:jc w:val="both"/>
      </w:pPr>
      <w:r>
        <w:rPr>
          <w:rFonts w:ascii="仿宋_GB2312" w:hAnsi="仿宋_GB2312" w:eastAsia="仿宋_GB2312"/>
          <w:b w:val="0"/>
          <w:sz w:val="32"/>
        </w:rPr>
        <w:t>7.卫生健康支出(类)卫生健康管理事务(款)其他卫生健康管理事务支出(项):支出决算数为101.44万元，比上年决算减少288.21万元，下降73.97%,主要原因是：本年乡村医生减少，补助资金减少。</w:t>
      </w:r>
    </w:p>
    <w:p>
      <w:pPr>
        <w:spacing w:line="580" w:lineRule="exact"/>
        <w:ind w:firstLine="640"/>
        <w:jc w:val="both"/>
      </w:pPr>
      <w:r>
        <w:rPr>
          <w:rFonts w:ascii="仿宋_GB2312" w:hAnsi="仿宋_GB2312" w:eastAsia="仿宋_GB2312"/>
          <w:b w:val="0"/>
          <w:sz w:val="32"/>
        </w:rPr>
        <w:t>8.卫生健康支出(类)公共卫生(款)其他专业公共卫生机构(项):支出决算数为0.00万元，比上年决算减少55.97万元，下降100.00%,主要原因是：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科目调整，康复中心费用从其他专业公共卫生机构科目调整至其他公共卫生支出科目</w:t>
      </w:r>
      <w:r>
        <w:rPr>
          <w:rFonts w:hint="eastAsia" w:ascii="仿宋_GB2312" w:hAnsi="仿宋_GB2312" w:eastAsia="仿宋_GB2312"/>
          <w:b w:val="0"/>
          <w:sz w:val="32"/>
          <w:lang w:val="en-US" w:eastAsia="zh-CN"/>
        </w:rPr>
        <w:t>列支，导致经费减少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9.卫生健康支出(类)公共卫生(款)基本公共卫生服务(项):支出决算数为88.48万元，比上年决算减少67.67万元，下降43.34%,主要原因是：基本公共卫生服务项目补助资金较上年减少。</w:t>
      </w:r>
    </w:p>
    <w:p>
      <w:pPr>
        <w:spacing w:line="580" w:lineRule="exact"/>
        <w:ind w:firstLine="640"/>
        <w:jc w:val="both"/>
      </w:pPr>
      <w:r>
        <w:rPr>
          <w:rFonts w:ascii="仿宋_GB2312" w:hAnsi="仿宋_GB2312" w:eastAsia="仿宋_GB2312"/>
          <w:b w:val="0"/>
          <w:sz w:val="32"/>
        </w:rPr>
        <w:t>10.卫生健康支出(类)公共卫生(款)重大公共卫生服务(项):支出决算数为5.42万元，比上年决算减少27.83万元，下降83.70%,主要原因是：重大公共卫生服务项目补助资金较上年减少。</w:t>
      </w:r>
    </w:p>
    <w:p>
      <w:pPr>
        <w:spacing w:line="580" w:lineRule="exact"/>
        <w:ind w:firstLine="640"/>
        <w:jc w:val="both"/>
      </w:pPr>
      <w:r>
        <w:rPr>
          <w:rFonts w:ascii="仿宋_GB2312" w:hAnsi="仿宋_GB2312" w:eastAsia="仿宋_GB2312"/>
          <w:b w:val="0"/>
          <w:sz w:val="32"/>
        </w:rPr>
        <w:t>11.卫生健康支出(类)公共卫生(款)突发公共卫生事件应急处置(项):支出决算数为999.30万元，比上年决算减少4,599.07万元，下降82.15%,主要原因是：本年YQ防控资金较上年大幅减少。</w:t>
      </w:r>
    </w:p>
    <w:p>
      <w:pPr>
        <w:spacing w:line="580" w:lineRule="exact"/>
        <w:ind w:firstLine="640"/>
        <w:jc w:val="both"/>
      </w:pPr>
      <w:r>
        <w:rPr>
          <w:rFonts w:ascii="仿宋_GB2312" w:hAnsi="仿宋_GB2312" w:eastAsia="仿宋_GB2312"/>
          <w:b w:val="0"/>
          <w:sz w:val="32"/>
        </w:rPr>
        <w:t>12.卫生健康支出(类)公共卫生(款)其他公共卫生支出(项):支出决算数为783.43万元，比上年决算增加371.18万元，增长90.04%,主要原因是：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科目调整，康复中心费用从其他专业公共卫生机构科目调整至其他公共卫生支出科目</w:t>
      </w:r>
      <w:r>
        <w:rPr>
          <w:rFonts w:hint="eastAsia" w:ascii="仿宋_GB2312" w:hAnsi="仿宋_GB2312" w:eastAsia="仿宋_GB2312"/>
          <w:b w:val="0"/>
          <w:sz w:val="32"/>
          <w:lang w:val="en-US" w:eastAsia="zh-CN"/>
        </w:rPr>
        <w:t>列支，导致经费较上年增加</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13.卫生健康支出(类)计划生育事务(款)计划生育服务(项):支出决算数为1,551.36万元，比上年决算减少236.68万元，下降13.24%,主要原因是：本年符合奖励资金发放人员减少，导致经费较上年减少。</w:t>
      </w:r>
    </w:p>
    <w:p>
      <w:pPr>
        <w:spacing w:line="580" w:lineRule="exact"/>
        <w:ind w:firstLine="640"/>
        <w:jc w:val="both"/>
      </w:pPr>
      <w:r>
        <w:rPr>
          <w:rFonts w:ascii="仿宋_GB2312" w:hAnsi="仿宋_GB2312" w:eastAsia="仿宋_GB2312"/>
          <w:b w:val="0"/>
          <w:sz w:val="32"/>
        </w:rPr>
        <w:t>14.卫生健康支出(类)行政事业单位医疗(款)行政单位医疗(项):支出决算数为11.62万元，比上年决算增加2.11万元，增长22.19%,主要原因是：本年在职人员增加，行政单位医疗较上年增加。</w:t>
      </w:r>
    </w:p>
    <w:p>
      <w:pPr>
        <w:spacing w:line="580" w:lineRule="exact"/>
        <w:ind w:firstLine="640"/>
        <w:jc w:val="both"/>
      </w:pPr>
      <w:r>
        <w:rPr>
          <w:rFonts w:ascii="仿宋_GB2312" w:hAnsi="仿宋_GB2312" w:eastAsia="仿宋_GB2312"/>
          <w:b w:val="0"/>
          <w:sz w:val="32"/>
        </w:rPr>
        <w:t>15.卫生健康支出(类)行政事业单位医疗(款)事业单位医疗(项):支出决算数为3.75万元，比上年决算增加1.41万元，增长60.26%,主要原因是：本年在职人员工资基数调增，医疗缴费基数上涨，相应支出增加。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16.卫生健康支出(类)其他卫生健康支出(款)其他卫生健康支出(项):支出决算数为5.32万元，比上年决算减少1,818.00万元，下降99.71%,主要原因是：本年社区卫生服务中心建设项目已基本竣工，资金较上年减少。</w:t>
      </w:r>
    </w:p>
    <w:p>
      <w:pPr>
        <w:spacing w:line="580" w:lineRule="exact"/>
        <w:ind w:firstLine="640"/>
        <w:jc w:val="both"/>
      </w:pPr>
      <w:r>
        <w:rPr>
          <w:rFonts w:ascii="仿宋_GB2312" w:hAnsi="仿宋_GB2312" w:eastAsia="仿宋_GB2312"/>
          <w:b w:val="0"/>
          <w:sz w:val="32"/>
        </w:rPr>
        <w:t>17.住房保障支出(类)住房改革支出(款)住房公积金(项):支出决算数为32.09万元，比上年决算减少0.45万元，下降1.38%,主要原因是：本年在职人员调入调出，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2024年度一般公共预算财政拨款基本支出443.38万元，其中：</w:t>
      </w:r>
      <w:r>
        <w:rPr>
          <w:rFonts w:ascii="仿宋_GB2312" w:hAnsi="仿宋_GB2312" w:eastAsia="仿宋_GB2312"/>
          <w:b/>
          <w:sz w:val="32"/>
        </w:rPr>
        <w:t>人员经费437.93万元，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公用经费5.45万元，</w:t>
      </w:r>
      <w:r>
        <w:rPr>
          <w:rFonts w:ascii="仿宋_GB2312" w:hAnsi="仿宋_GB2312" w:eastAsia="仿宋_GB2312"/>
          <w:b w:val="0"/>
          <w:sz w:val="32"/>
        </w:rPr>
        <w:t>包括：办公费、邮电费、物业管理费、差旅费、委托业务费、公务用车运行维护费。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2024年度政府性基金预算财政拨款收入总计32.03万元，</w:t>
      </w:r>
      <w:r>
        <w:rPr>
          <w:rFonts w:ascii="仿宋_GB2312" w:hAnsi="仿宋_GB2312" w:eastAsia="仿宋_GB2312"/>
          <w:b w:val="0"/>
          <w:sz w:val="32"/>
        </w:rPr>
        <w:t>其中：年初结转和结余0.00万元，本年收入32.03万元。</w:t>
      </w:r>
      <w:r>
        <w:rPr>
          <w:rFonts w:ascii="仿宋_GB2312" w:hAnsi="仿宋_GB2312" w:eastAsia="仿宋_GB2312"/>
          <w:b/>
          <w:sz w:val="32"/>
        </w:rPr>
        <w:t>政府性基金预算财政拨款支出总计32.03万元，</w:t>
      </w:r>
      <w:r>
        <w:rPr>
          <w:rFonts w:ascii="仿宋_GB2312" w:hAnsi="仿宋_GB2312" w:eastAsia="仿宋_GB2312"/>
          <w:b w:val="0"/>
          <w:sz w:val="32"/>
        </w:rPr>
        <w:t>其中：年末结转和结余0.00万元，本年支出32.03万元。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增加32.03万元，增长100.00%，主要原因是：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增加2024年中央专项彩票公益金支持地方社会公益事业发展资金项目、2024年中央专项彩票公益金支持地方社会公益事业发展（医疗救助）资金等项目资金。</w:t>
      </w:r>
      <w:r>
        <w:rPr>
          <w:rFonts w:ascii="仿宋_GB2312" w:hAnsi="仿宋_GB2312" w:eastAsia="仿宋_GB2312"/>
          <w:b/>
          <w:sz w:val="32"/>
        </w:rPr>
        <w:t>与年初预算相比，</w:t>
      </w:r>
      <w:r>
        <w:rPr>
          <w:rFonts w:ascii="仿宋_GB2312" w:hAnsi="仿宋_GB2312" w:eastAsia="仿宋_GB2312"/>
          <w:b w:val="0"/>
          <w:sz w:val="32"/>
        </w:rPr>
        <w:t>年初预算数26.00万元，决算数32.03万元，预决算差异率23.19%，主要原因是：年中追加2024年中央专项彩票公益金支持地方社会公益事业发展医疗救助资金项目，导致预决算存在差异。</w:t>
      </w:r>
    </w:p>
    <w:p>
      <w:pPr>
        <w:spacing w:line="580" w:lineRule="exact"/>
        <w:ind w:firstLine="640"/>
        <w:jc w:val="both"/>
      </w:pPr>
      <w:r>
        <w:rPr>
          <w:rFonts w:ascii="仿宋_GB2312" w:hAnsi="仿宋_GB2312" w:eastAsia="仿宋_GB2312"/>
          <w:b w:val="0"/>
          <w:sz w:val="32"/>
        </w:rPr>
        <w:t>政府性基金预算财政拨款支出32.03万元。</w:t>
      </w:r>
    </w:p>
    <w:p>
      <w:pPr>
        <w:spacing w:line="580" w:lineRule="exact"/>
        <w:ind w:firstLine="640"/>
        <w:jc w:val="both"/>
      </w:pPr>
      <w:r>
        <w:rPr>
          <w:rFonts w:ascii="仿宋_GB2312" w:hAnsi="仿宋_GB2312" w:eastAsia="仿宋_GB2312"/>
          <w:b w:val="0"/>
          <w:sz w:val="32"/>
        </w:rPr>
        <w:t>1.其他支出(类)彩票公益金安排的支出(款)用于城乡医疗救助的彩票公益金支出(项):支出决算数为32.03万元，比上年决算增加32.03万元，增长100.00%,主要原因是：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增加2024年中央专项彩票公益金支持地方社会公益事业发展资金项目、2024年中央专项彩票公益金支持地方社会公益事业发展（医疗救助）资金等项目资金。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2024年度财政拨款“三公”经费支出6.61万元，</w:t>
      </w:r>
      <w:r>
        <w:rPr>
          <w:rFonts w:ascii="仿宋_GB2312" w:hAnsi="仿宋_GB2312" w:eastAsia="仿宋_GB2312"/>
          <w:b w:val="0"/>
          <w:sz w:val="32"/>
        </w:rPr>
        <w:t>比上年减少7.65万元，下降53.65%，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6.61万元，占100.00%，比上年减少7.65万元，下降53.65%，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6.61万元，其中：公务用车购置费0.00万元，公务用车运行维护费6.61万元。公务用车运行维护费开支内容包括车辆加油费、维修费、保险费。公务用车购置数0辆，公务用车保有量2辆。国有资产占用情况中固定资产车辆17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6.61万元，决算数6.61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6.61万元，决算数6.61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2024年度阿图什市卫生健康委员会（行政单位和参照公务员法管理事业单位）机关运行经费支出5.45万元，比上年减少6.63万元，下降54.88%，主要原因是：</w:t>
      </w:r>
      <w:r>
        <w:rPr>
          <w:rFonts w:hint="eastAsia" w:ascii="仿宋_GB2312" w:hAnsi="仿宋_GB2312" w:eastAsia="仿宋_GB2312"/>
          <w:b w:val="0"/>
          <w:sz w:val="32"/>
          <w:lang w:val="en-US" w:eastAsia="zh-CN"/>
        </w:rPr>
        <w:t>取暖费，</w:t>
      </w:r>
      <w:r>
        <w:rPr>
          <w:rFonts w:ascii="仿宋_GB2312" w:hAnsi="仿宋_GB2312" w:eastAsia="仿宋_GB2312"/>
          <w:b w:val="0"/>
          <w:sz w:val="32"/>
        </w:rPr>
        <w:t>公务用车运行维护费</w:t>
      </w:r>
      <w:r>
        <w:rPr>
          <w:rFonts w:hint="eastAsia" w:ascii="仿宋_GB2312" w:hAnsi="仿宋_GB2312" w:eastAsia="仿宋_GB2312"/>
          <w:b w:val="0"/>
          <w:sz w:val="32"/>
          <w:lang w:val="en-US" w:eastAsia="zh-CN"/>
        </w:rPr>
        <w:t>支出较上年减少</w:t>
      </w:r>
      <w:r>
        <w:rPr>
          <w:rFonts w:ascii="仿宋_GB2312" w:hAnsi="仿宋_GB2312" w:eastAsia="仿宋_GB2312"/>
          <w:b w:val="0"/>
          <w:sz w:val="32"/>
        </w:rPr>
        <w:t>。</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2024年度政府采购支出总额642.30万元，其中：政府采购货物支出450.65万元、政府采购工程支出0.00万元、政府采购服务支出191.64万元。</w:t>
      </w:r>
    </w:p>
    <w:p>
      <w:pPr>
        <w:spacing w:line="580" w:lineRule="exact"/>
        <w:ind w:firstLine="640"/>
        <w:jc w:val="both"/>
      </w:pPr>
      <w:r>
        <w:rPr>
          <w:rFonts w:ascii="仿宋_GB2312" w:hAnsi="仿宋_GB2312" w:eastAsia="仿宋_GB2312"/>
          <w:b w:val="0"/>
          <w:sz w:val="32"/>
        </w:rPr>
        <w:t>授予中小企业合同金额556.49万元，占政府采购支出总额的86.64%，其中：授予小微企业合同金额399.32万元，占政府采购支出总额的62.17%。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252,917.10平方米，价值20,947.61万元。车辆17辆，价值110.35万元，其中：副部（省）级及以上领导用车0辆、主要负责人用车0辆、机要通信用车0辆、应急保障用车0辆、执法执勤用车0辆、特种专业技术用车1辆、离退休干部服务用车0辆、其他用车16辆，其他用车主要是：洒水车、送餐车、救护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根据预算绩效管理要求，本单位2024年度预算绩效管理形成整体支出绩效自评表1个，全年预算总额5,980.09万元，实际执行总额5,743.49万元；预算绩效评价项目1</w:t>
      </w:r>
      <w:r>
        <w:rPr>
          <w:rFonts w:hint="eastAsia" w:ascii="仿宋_GB2312" w:hAnsi="仿宋_GB2312" w:eastAsia="仿宋_GB2312"/>
          <w:b w:val="0"/>
          <w:sz w:val="32"/>
          <w:lang w:val="en-US" w:eastAsia="zh-CN"/>
        </w:rPr>
        <w:t>7</w:t>
      </w:r>
      <w:r>
        <w:rPr>
          <w:rFonts w:ascii="仿宋_GB2312" w:hAnsi="仿宋_GB2312" w:eastAsia="仿宋_GB2312"/>
          <w:b w:val="0"/>
          <w:sz w:val="32"/>
        </w:rPr>
        <w:t>个，全年预算数</w:t>
      </w:r>
      <w:r>
        <w:rPr>
          <w:rFonts w:hint="eastAsia" w:ascii="仿宋_GB2312" w:hAnsi="仿宋_GB2312" w:eastAsia="仿宋_GB2312"/>
          <w:b w:val="0"/>
          <w:sz w:val="32"/>
        </w:rPr>
        <w:t>7</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556.47</w:t>
      </w:r>
      <w:r>
        <w:rPr>
          <w:rFonts w:ascii="仿宋_GB2312" w:hAnsi="仿宋_GB2312" w:eastAsia="仿宋_GB2312"/>
          <w:b w:val="0"/>
          <w:sz w:val="32"/>
        </w:rPr>
        <w:t>万元，全年执行数</w:t>
      </w:r>
      <w:r>
        <w:rPr>
          <w:rFonts w:hint="eastAsia" w:ascii="仿宋_GB2312" w:hAnsi="仿宋_GB2312" w:eastAsia="仿宋_GB2312"/>
          <w:b w:val="0"/>
          <w:sz w:val="32"/>
        </w:rPr>
        <w:t>2</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456.98</w:t>
      </w:r>
      <w:r>
        <w:rPr>
          <w:rFonts w:ascii="仿宋_GB2312" w:hAnsi="仿宋_GB2312" w:eastAsia="仿宋_GB2312"/>
          <w:b w:val="0"/>
          <w:sz w:val="32"/>
        </w:rPr>
        <w:t>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9"/>
        <w:tblW w:w="9140" w:type="dxa"/>
        <w:tblInd w:w="0" w:type="dxa"/>
        <w:tblLayout w:type="autofit"/>
        <w:tblCellMar>
          <w:top w:w="0" w:type="dxa"/>
          <w:left w:w="108" w:type="dxa"/>
          <w:bottom w:w="0" w:type="dxa"/>
          <w:right w:w="108" w:type="dxa"/>
        </w:tblCellMar>
      </w:tblPr>
      <w:tblGrid>
        <w:gridCol w:w="1142"/>
        <w:gridCol w:w="1142"/>
        <w:gridCol w:w="1142"/>
        <w:gridCol w:w="1142"/>
        <w:gridCol w:w="1142"/>
        <w:gridCol w:w="1142"/>
        <w:gridCol w:w="1142"/>
        <w:gridCol w:w="1146"/>
      </w:tblGrid>
      <w:tr>
        <w:tblPrEx>
          <w:tblCellMar>
            <w:top w:w="0" w:type="dxa"/>
            <w:left w:w="108" w:type="dxa"/>
            <w:bottom w:w="0" w:type="dxa"/>
            <w:right w:w="108" w:type="dxa"/>
          </w:tblCellMar>
        </w:tblPrEx>
        <w:trPr>
          <w:trHeight w:val="253" w:hRule="atLeast"/>
        </w:trPr>
        <w:tc>
          <w:tcPr>
            <w:tcW w:w="91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rPr>
          <w:trHeight w:val="253" w:hRule="atLeast"/>
        </w:trPr>
        <w:tc>
          <w:tcPr>
            <w:tcW w:w="91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rPr>
          <w:trHeight w:val="273" w:hRule="atLeast"/>
        </w:trPr>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99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r>
      <w:tr>
        <w:tblPrEx>
          <w:tblCellMar>
            <w:top w:w="0" w:type="dxa"/>
            <w:left w:w="108" w:type="dxa"/>
            <w:bottom w:w="0" w:type="dxa"/>
            <w:right w:w="108" w:type="dxa"/>
          </w:tblCellMar>
        </w:tblPrEx>
        <w:trPr>
          <w:trHeight w:val="525" w:hRule="atLeast"/>
        </w:trPr>
        <w:tc>
          <w:tcPr>
            <w:tcW w:w="114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rPr>
          <w:trHeight w:val="273" w:hRule="atLeast"/>
        </w:trPr>
        <w:tc>
          <w:tcPr>
            <w:tcW w:w="114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9,112.39</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5,980.09</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5,743.49</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96.04%</w:t>
            </w:r>
          </w:p>
        </w:tc>
        <w:tc>
          <w:tcPr>
            <w:tcW w:w="11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9.6</w:t>
            </w:r>
          </w:p>
        </w:tc>
      </w:tr>
      <w:tr>
        <w:tblPrEx>
          <w:tblCellMar>
            <w:top w:w="0" w:type="dxa"/>
            <w:left w:w="108" w:type="dxa"/>
            <w:bottom w:w="0" w:type="dxa"/>
            <w:right w:w="108" w:type="dxa"/>
          </w:tblCellMar>
        </w:tblPrEx>
        <w:trPr>
          <w:trHeight w:val="273" w:hRule="atLeast"/>
        </w:trPr>
        <w:tc>
          <w:tcPr>
            <w:tcW w:w="114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1,340.60</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2,201.48</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2,201.48</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rPr>
          <w:trHeight w:val="273" w:hRule="atLeast"/>
        </w:trPr>
        <w:tc>
          <w:tcPr>
            <w:tcW w:w="114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7,771.79</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3,778.61</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3,542.01</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rPr>
          <w:trHeight w:val="273" w:hRule="atLeast"/>
        </w:trPr>
        <w:tc>
          <w:tcPr>
            <w:tcW w:w="114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rPr>
          <w:trHeight w:val="273" w:hRule="atLeast"/>
        </w:trPr>
        <w:tc>
          <w:tcPr>
            <w:tcW w:w="114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42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57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rPr>
          <w:trHeight w:val="4310" w:hRule="atLeast"/>
        </w:trPr>
        <w:tc>
          <w:tcPr>
            <w:tcW w:w="114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42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组织拟订国民健康政策,贯彻自治区、自治州卫生健康事业发展法规、草案、政策、规划、规章和标准并组织实施。统筹规划卫生健康资源配置,指导区域卫生健康规划的编制单位和实施。制定并组织实施推进卫生健康基本公共服务均等化、普惠化、便捷化和公共资源向基层延伸等政策措施。 </w:t>
            </w:r>
            <w:r>
              <w:rPr>
                <w:rFonts w:ascii="宋体" w:hAnsi="宋体" w:eastAsia="宋体"/>
                <w:sz w:val="16"/>
              </w:rPr>
              <w:br w:type="textWrapping"/>
            </w:r>
            <w:r>
              <w:rPr>
                <w:rFonts w:ascii="宋体" w:hAnsi="宋体" w:eastAsia="宋体"/>
                <w:sz w:val="16"/>
              </w:rPr>
              <w:t xml:space="preserve">机构设置及人员配置：无下属预算单位，下设7个科室，编制数30，实有人数55人，在职23人，退休32人。 </w:t>
            </w:r>
            <w:r>
              <w:rPr>
                <w:rFonts w:ascii="宋体" w:hAnsi="宋体" w:eastAsia="宋体"/>
                <w:sz w:val="16"/>
              </w:rPr>
              <w:br w:type="textWrapping"/>
            </w:r>
            <w:r>
              <w:rPr>
                <w:rFonts w:ascii="宋体" w:hAnsi="宋体" w:eastAsia="宋体"/>
                <w:sz w:val="16"/>
              </w:rPr>
              <w:t>中长期规划：按照全国、自治区、自治州及阿图什市卫生健康工作会议要求，凝心聚力、攻坚克难，统筹推进</w:t>
            </w:r>
            <w:r>
              <w:rPr>
                <w:rFonts w:hint="eastAsia" w:ascii="宋体" w:hAnsi="宋体"/>
                <w:sz w:val="16"/>
                <w:lang w:eastAsia="zh-CN"/>
              </w:rPr>
              <w:t>YQ</w:t>
            </w:r>
            <w:r>
              <w:rPr>
                <w:rFonts w:ascii="宋体" w:hAnsi="宋体" w:eastAsia="宋体"/>
                <w:sz w:val="16"/>
              </w:rPr>
              <w:t>防控和卫生健康事业高质量发展，加快推进健康阿图什建设，全方位、全周期、多层次维护和保障人民生命财产安全。</w:t>
            </w:r>
          </w:p>
        </w:tc>
        <w:tc>
          <w:tcPr>
            <w:tcW w:w="457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本单位共计支出5743.49万元，用于保障部门在职23人，退休32人的工资福利、各项补助正常发放及部门单位正常运转，单位预算项目根据年初计划均已完成，统筹推进</w:t>
            </w:r>
            <w:r>
              <w:rPr>
                <w:rFonts w:hint="eastAsia" w:ascii="宋体" w:hAnsi="宋体"/>
                <w:sz w:val="16"/>
                <w:lang w:eastAsia="zh-CN"/>
              </w:rPr>
              <w:t>YQ</w:t>
            </w:r>
            <w:r>
              <w:rPr>
                <w:rFonts w:ascii="宋体" w:hAnsi="宋体" w:eastAsia="宋体"/>
                <w:sz w:val="16"/>
              </w:rPr>
              <w:t xml:space="preserve">防控和卫生健康事业高质量发展，加快推进健康阿图什建设，全方位、全周期、多层次维护和保障人民生命财产安全，年度任务中保障单位预算项目8个，新增社区医院3所，基层医务人员能力提升短期培训班4次等目标。 </w:t>
            </w:r>
          </w:p>
        </w:tc>
      </w:tr>
      <w:tr>
        <w:tblPrEx>
          <w:tblCellMar>
            <w:top w:w="0" w:type="dxa"/>
            <w:left w:w="108" w:type="dxa"/>
            <w:bottom w:w="0" w:type="dxa"/>
            <w:right w:w="108" w:type="dxa"/>
          </w:tblCellMar>
        </w:tblPrEx>
        <w:trPr>
          <w:trHeight w:val="525" w:hRule="atLeast"/>
        </w:trPr>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rPr>
          <w:trHeight w:val="525" w:hRule="atLeast"/>
        </w:trPr>
        <w:tc>
          <w:tcPr>
            <w:tcW w:w="114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4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保障单位预算项目</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&gt;=13个</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项目实施方案</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8个</w:t>
            </w:r>
          </w:p>
        </w:tc>
        <w:tc>
          <w:tcPr>
            <w:tcW w:w="11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w:t>
            </w:r>
          </w:p>
        </w:tc>
      </w:tr>
      <w:tr>
        <w:tblPrEx>
          <w:tblCellMar>
            <w:top w:w="0" w:type="dxa"/>
            <w:left w:w="108" w:type="dxa"/>
            <w:bottom w:w="0" w:type="dxa"/>
            <w:right w:w="108" w:type="dxa"/>
          </w:tblCellMar>
        </w:tblPrEx>
        <w:trPr>
          <w:trHeight w:val="525" w:hRule="atLeast"/>
        </w:trPr>
        <w:tc>
          <w:tcPr>
            <w:tcW w:w="114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4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新增社区医院</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=2所</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3所</w:t>
            </w:r>
          </w:p>
        </w:tc>
        <w:tc>
          <w:tcPr>
            <w:tcW w:w="11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rPr>
          <w:trHeight w:val="778" w:hRule="atLeast"/>
        </w:trPr>
        <w:tc>
          <w:tcPr>
            <w:tcW w:w="114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4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基层医务人员能力提升短期培训班</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rPr>
          <w:trHeight w:val="778" w:hRule="atLeast"/>
        </w:trPr>
        <w:tc>
          <w:tcPr>
            <w:tcW w:w="114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4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组织接种各类疫苗覆盖率</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1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rPr>
          <w:trHeight w:val="545" w:hRule="atLeast"/>
        </w:trPr>
        <w:tc>
          <w:tcPr>
            <w:tcW w:w="114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4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重点职业病监测覆盖率</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2024年中央专项彩票公益金支持地方社会公益事业发展资金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根据《2024年中央专项彩票公益金支持地方社会公益事业发展资金的通知》克财综</w:t>
            </w:r>
            <w:r>
              <w:rPr>
                <w:rFonts w:hint="eastAsia" w:ascii="宋体" w:hAnsi="宋体"/>
                <w:sz w:val="16"/>
                <w:lang w:eastAsia="zh-CN"/>
              </w:rPr>
              <w:t>〔2023〕14号</w:t>
            </w:r>
            <w:r>
              <w:rPr>
                <w:rFonts w:ascii="宋体" w:hAnsi="宋体" w:eastAsia="宋体"/>
                <w:sz w:val="16"/>
              </w:rPr>
              <w:t>文件，下达资金26万元，主要用于完成克州35-64岁农村和低收入适龄妇女宫颈癌检查，逐步提高农村妇女整体健康水平，宫颈癌防治知识知晓率不断提高，促进基层逐步建立制度化、规范化的 “宫颈癌”防治长效机制。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2024年中央专项彩票公益金支持地方社会公益事业发展资金的通知》克财综〔2023〕14号文件，下达资金26万元，本项目共计支出26万元，用于完成农村适龄妇女宫颈癌检查8000人；通过实施本项目完成35-64岁农村和低收入适龄妇女宫颈癌检查，逐步提高农村妇女整体健康水平，宫颈癌防治知识知晓率不断提高，促进基层逐步建立制度化、规范化的 “宫颈癌”防治长效机制。</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完成农村适龄妇女宫颈癌检查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宫颈癌的早期诊断率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“两癌”检查项目按时完成率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适龄妇女宫颈癌检查支出成本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&lt;=32.50元/人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妇幼健康服务水平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26"/>
        <w:gridCol w:w="856"/>
        <w:gridCol w:w="615"/>
        <w:gridCol w:w="615"/>
        <w:gridCol w:w="621"/>
        <w:gridCol w:w="615"/>
        <w:gridCol w:w="621"/>
        <w:gridCol w:w="776"/>
        <w:gridCol w:w="632"/>
        <w:gridCol w:w="595"/>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2024年中央专项彩票公益金支持地方社会公益事业发展（医疗救助）资金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专项彩票公益金支持地方社会公益事业发展（医疗救助）资金预算的通知》克财综〔2024〕10号文件，下达资金6.0346万元，用于对全市3-4岁儿童开展口腔局部用氟，有效控制我市儿童口腔龋齿发病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专项彩票公益金支持地方社会公益事业发展（医疗救助）资金预算的通知》克财综〔2024〕10号文件，下达资金6.0346万元，本项目共计支出6.0346万元，用于购买局部用氟材料数量1批，发放培训交通补助次数1次，定制培训合格证书数量1批；通过实施本项目对全市3-4岁儿童开展口腔局部用氟，有效控制我市儿童口腔龋齿发病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购买局部用氟材料数量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发放培训交通补助次数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定制培训合格证书数量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采购局部用氟材料成本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&lt;=5.399万元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发放培训交通补助成本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&lt;=0.5574万元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=0.5574万元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定制培训合格证书成本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&lt;=0.0782万元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=0.0782万元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开展全市儿童“护齿行动”工作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受益儿童满意度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2024年中央基本公共卫生服务补助资金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根据《关于下达2024年中央基本公共卫生服务补助资金预算的通知》克财社</w:t>
            </w:r>
            <w:r>
              <w:rPr>
                <w:rFonts w:hint="eastAsia" w:ascii="宋体" w:hAnsi="宋体"/>
                <w:sz w:val="16"/>
                <w:lang w:eastAsia="zh-CN"/>
              </w:rPr>
              <w:t>〔2024〕16号</w:t>
            </w:r>
            <w:r>
              <w:rPr>
                <w:rFonts w:ascii="宋体" w:hAnsi="宋体" w:eastAsia="宋体"/>
                <w:sz w:val="16"/>
              </w:rPr>
              <w:t>，下达资金2.3万元，用于向城乡居民提供</w:t>
            </w:r>
            <w:r>
              <w:rPr>
                <w:rFonts w:hint="eastAsia" w:ascii="宋体" w:hAnsi="宋体"/>
                <w:sz w:val="16"/>
                <w:lang w:eastAsia="zh-CN"/>
              </w:rPr>
              <w:t>基本</w:t>
            </w:r>
            <w:r>
              <w:rPr>
                <w:rFonts w:ascii="宋体" w:hAnsi="宋体" w:eastAsia="宋体"/>
                <w:sz w:val="16"/>
              </w:rPr>
              <w:t>公共卫生服务。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基本公共卫生服务补助资金预算的通知》克财社〔2024〕16号，下达资金2.3万元，本项目共计支出2.3万元，用于发放差旅补助次数2次，制作广告宣传次数1次，购买办公设备数量1批，购买办公用品数量1批；通过实施本项目改善卫生环境，保障部门单位工作正常开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发放差旅补助次数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制作广告宣传次数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项目工作完成时间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发放差旅补助成本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制作广告宣传成本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改善卫生环境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2024年中央基本公共卫生服务补助资金项目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根据《关于提前下达2024年中央财政基本公共卫生服务补助资金预算的通知》克财社〔2023〕90号文件，下达资金85.5万元，用于保障妇幼保健中心的妇幼工作，优化生育政策宣传咨询服务；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基本公共卫生服务补助资金预算的通知》克财社〔2023〕90号文件，下达资金85.5万元，本项目共计支出85.5万元，用于项目涉及单位数量2个，部门单位日常运转期限12个月，印刷宣传材料数量2批次；通过实施本项目保障妇幼保健中心的妇幼工作，优化生育政策宣传咨询服务。</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项目涉及单位数量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部门单位日常运转期限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印刷宣传材料数量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妇幼保障中心运转成本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&lt;=77.50万元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印刷资料、出差等运转成本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保障日常工作正常运转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0"/>
        <w:gridCol w:w="600"/>
        <w:gridCol w:w="600"/>
        <w:gridCol w:w="600"/>
        <w:gridCol w:w="936"/>
        <w:gridCol w:w="600"/>
        <w:gridCol w:w="600"/>
        <w:gridCol w:w="610"/>
        <w:gridCol w:w="600"/>
        <w:gridCol w:w="610"/>
        <w:gridCol w:w="857"/>
        <w:gridCol w:w="633"/>
        <w:gridCol w:w="563"/>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2024年乡村医生和全科医生社保补贴配套资金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455.87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455.87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455.87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455.87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455.87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455.87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根据《阿图什市卫生健康委员会2024年财务预算工作会议纪要》，安排项目资金455.87万元，用于316名乡村医生和14名全科医生社保补贴支出，达到各项业务按照计划执行，有效保障乡村医生和全科医生待遇。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本项目共计支出455.87万元，用于303名乡村医生和3名全科医生社保补贴支出；通过实施本项目达到各项业务按照计划执行，有效保障乡村医生和全科医生待遇。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乡村医生人数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原因：根据实际情况进行发放，每月人员有所变动，因此存在偏差；措施：今后做好项目规划，减少偏差。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全科医生人数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原因：根据实际情况进行发放，每月人员有所变动，因此存在偏差；措施：今后做好项目规划，减少偏差。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社保补贴发放覆盖率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社保补贴标准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&lt;=1151.18元/人/月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=1151.18元/人/月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提高村医和全科医生工作积极性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村医和全科医生满意度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91.36分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2024年乡村医生补助配套资金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根据《阿图什市卫生健康委员会2023年财务预算工作会议纪要》，安排项目资金30.34万元，主要用于保障316名乡村医生工资支出，达到各项业务按照计划执行，有效保障乡村医生待遇。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本项目共计支出30.34万元，用于保障303名乡村医生工资支出；通过实施本项目达到各项业务按照计划执行，有效保障乡村医生待遇。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乡村医生人数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原因：根据实际情况进行发放，每月人员数量有变动，因此指标存在偏差；措施：今后做好项目规划，减少偏差。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乡村医生工资补助标准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保障乡村医生待遇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乡村医生满意度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2024年孕妇产前免费筛查工作经费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根据《阿图什市卫生健康委员会2024年财务预算工作会议纪要》，安排项目资金600万元，用于为保障单位工作正常开展600万元用于全市3000 名孕妇提供免费产前筛查费用支出，达到各项业务按照计划执行，有效保障卫健委大楼单位日常工作正常开展。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本项目已完成全市3000名孕妇提供免费产前筛查，因支出资料不齐全，资金未拨付；通过实施本项目达到各项业务按照计划执行，有效保障卫健委大楼单位日常工作正常开展。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全市孕妇提供免费产检人数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孕妇免费产检覆盖率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产检工作质量达标率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全市孕妇提供免费产检补助标准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有效保障卫健委大楼单位日常工作正常开展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受益孕妇满意度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2024年康复中心工作经费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阿图什市卫生健康委员会2024年财务预算工作会议纪要》安排项目资金130万元，用于日常设施维修及缴纳水电费12个月、伙食补助61人，支付食堂及锅炉房师傅12个月工资、购买生活用品及办公用品；项目实施后将降低精神病发作频率，更好地保护人民群众身体健康。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48.4809万元，用于日常设施维修、缴纳水电费保障期限12个月，保障伙食补助人数61人，支持食堂及锅炉师傅工资期限12个月，购买生活用品、办公用品数量4批次；通过实施本项目降低精神病发作频率，更好地保护人民群众身体健康。 </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日常设施维修、缴纳水电费保障期限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保障伙食补助人数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支持食堂及锅炉师傅工资期限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购买生活用品、办公用品数量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购买物品合格率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日常设施维修、缴纳水电费保障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保障伙食补助成本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支持食堂及锅炉师傅工资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=4.4809万元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购买生活用品、办公用品成本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做好群众身体健康工作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良好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良好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07"/>
        <w:gridCol w:w="557"/>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w:t>
            </w:r>
            <w:r>
              <w:rPr>
                <w:rFonts w:hint="eastAsia" w:ascii="宋体" w:hAnsi="宋体"/>
                <w:sz w:val="16"/>
                <w:lang w:eastAsia="zh-CN"/>
              </w:rPr>
              <w:t>慢性病</w:t>
            </w:r>
            <w:r>
              <w:rPr>
                <w:rFonts w:ascii="宋体" w:hAnsi="宋体" w:eastAsia="宋体"/>
                <w:sz w:val="16"/>
              </w:rPr>
              <w:t>防控经费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卫生健康委员会2024年财务预算工作会议纪要》，安排项目资金36万元，主要用于创建国家慢性非传染性疾病综合防控示范区产生费用等支出，达到各项业务按照计划完成，有效保障创建国家慢性非传染性疾病综合防控示范区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印刷宣传材料及广告牌数量2批次，购买办公用品数量4批次，因支出资料不齐全，资金未拨付；通过实施本项目,达到各项业务年度目标，有效保障创建国家慢性非传染性疾病综合防控示范区工作正常开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7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7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印刷宣传材料及广告牌数量</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购买办公用品数量</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印刷材料合格率</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印刷宣传材料及广告牌成本</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购买办公用品成本</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确保各项业务按照计划完成</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w:t>
            </w:r>
            <w:r>
              <w:rPr>
                <w:rFonts w:hint="eastAsia" w:ascii="宋体" w:hAnsi="宋体"/>
                <w:sz w:val="16"/>
                <w:lang w:eastAsia="zh-CN"/>
              </w:rPr>
              <w:t>YQ</w:t>
            </w:r>
            <w:r>
              <w:rPr>
                <w:rFonts w:ascii="宋体" w:hAnsi="宋体" w:eastAsia="宋体"/>
                <w:sz w:val="16"/>
              </w:rPr>
              <w:t>防控工资配套资金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根据《阿图什市卫生健康委员会2024年财务预算工作会议纪要》，安排项目资金5000万元，用于支付</w:t>
            </w:r>
            <w:r>
              <w:rPr>
                <w:rFonts w:hint="eastAsia" w:ascii="宋体" w:hAnsi="宋体"/>
                <w:sz w:val="16"/>
                <w:lang w:eastAsia="zh-CN"/>
              </w:rPr>
              <w:t>YQ</w:t>
            </w:r>
            <w:r>
              <w:rPr>
                <w:rFonts w:ascii="宋体" w:hAnsi="宋体" w:eastAsia="宋体"/>
                <w:sz w:val="16"/>
              </w:rPr>
              <w:t xml:space="preserve">指挥部往年费用，项目实施后将确保后勤保障有力，处置及时，更好地保护人民群众身体健康。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本项目共计支出999.3043万元，用于支付</w:t>
            </w:r>
            <w:r>
              <w:rPr>
                <w:rFonts w:hint="eastAsia" w:ascii="宋体" w:hAnsi="宋体"/>
                <w:sz w:val="16"/>
                <w:lang w:eastAsia="zh-CN"/>
              </w:rPr>
              <w:t>YQ</w:t>
            </w:r>
            <w:r>
              <w:rPr>
                <w:rFonts w:ascii="宋体" w:hAnsi="宋体" w:eastAsia="宋体"/>
                <w:sz w:val="16"/>
              </w:rPr>
              <w:t xml:space="preserve">指挥部往年费用，涉及公司数量2家；通过实施本项目确保后勤保障有力，处置及时，更好地保护人民群众身体健康。 </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涉及公司数量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保障人民群众生命和财产安全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公司满意度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1"/>
        <w:gridCol w:w="631"/>
        <w:gridCol w:w="631"/>
        <w:gridCol w:w="631"/>
        <w:gridCol w:w="632"/>
        <w:gridCol w:w="631"/>
        <w:gridCol w:w="631"/>
        <w:gridCol w:w="631"/>
        <w:gridCol w:w="631"/>
        <w:gridCol w:w="631"/>
        <w:gridCol w:w="856"/>
        <w:gridCol w:w="632"/>
        <w:gridCol w:w="629"/>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2024年结核病服务点工作配套资金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根据《阿图什市卫生健康委员会2024年财务预算工作会议纪要》，安排项目资金150万元，主要用于保障肺结核病集中</w:t>
            </w:r>
            <w:r>
              <w:rPr>
                <w:rFonts w:hint="eastAsia" w:ascii="宋体" w:hAnsi="宋体"/>
                <w:sz w:val="16"/>
                <w:lang w:val="en-US" w:eastAsia="zh-CN"/>
              </w:rPr>
              <w:t>GL</w:t>
            </w:r>
            <w:r>
              <w:rPr>
                <w:rFonts w:ascii="宋体" w:hAnsi="宋体" w:eastAsia="宋体"/>
                <w:sz w:val="16"/>
              </w:rPr>
              <w:t>治疗点各项工作正常开展，2024 年计划日常设施维修及缴纳水电费12个月、伙食补助95人、支付15名食堂及锅炉房师傅12个月工资、聘用垃圾处理第三方2家；项目实施后降低结核病患者传染健康人群风险，提高患者治愈率及公共服务能力。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本项目共计支出89.1769万元，用于日常设施维修及缴纳水电费12个月，伙食补助104人</w:t>
            </w:r>
            <w:r>
              <w:rPr>
                <w:rFonts w:hint="eastAsia" w:ascii="宋体" w:hAnsi="宋体"/>
                <w:sz w:val="16"/>
                <w:lang w:eastAsia="zh-CN"/>
              </w:rPr>
              <w:t>，</w:t>
            </w:r>
            <w:r>
              <w:rPr>
                <w:rFonts w:ascii="宋体" w:hAnsi="宋体" w:eastAsia="宋体"/>
                <w:sz w:val="16"/>
              </w:rPr>
              <w:t>聘用垃圾处理第三方1家；通过实施本项目降低结核病患者传染健康人群风险，提高患者治愈率及公共服务能力。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日常设施维修及缴纳水电费期限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伙食补助人数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支持及锅炉房师傅人数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聘用垃圾处理第三方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日常设施维修及缴纳水电费成本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伙食补助成本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=84.0438万元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食堂及锅炉房师傅成本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聘用垃圾处理第三方成本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=4.9562万元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提高患者治愈率及公共服务能力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49.91分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2024年自治区医疗服务与保障能力提升 （卫生健康人才队伍建设）补助资金项目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255.44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9.38分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255.44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医疗服务与保障能力提升（卫生健康人才队伍建设）补助资金预算的通知》克财社〔2023〕88号文件，安排项目资金262万元，用于为全区乡村医生发放自治区财政补助，进一步稳定乡村医生队伍，巩固完善村卫生室基本功能，筑牢农村卫生服务体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医疗服务与保障能力提升（卫生健康人才队伍建设）补助资金预算的通知》克财社〔2023〕88号文件，下达资金262万元，本项目共计支出255.44万元，用于补助取得乡村医生证书、乡村医生人数303人；通过实施本项目进一步稳定乡村医生队伍，巩固完善村卫生室基本功能，筑牢农村卫生服务体系。</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补助取得乡村医生证书、乡村医生人数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乡村医生补助发放准确率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原因：根据实际情况进行支付，剩余资金结转至2025年支出；措施：加快项目支出进度，做好项目规划，减少偏差。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向乡村医生及时足额拨付自治区财政补助资金周期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乡村医生补助标准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原因：根据实际情况进行支付，剩余资金结转至2025年支出；措施：加快项目支出进度，做好项目规划，减少偏差。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稳定乡村医生队伍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农村居民对乡村医生服务满意度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97.19分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2024年重大</w:t>
            </w:r>
            <w:r>
              <w:rPr>
                <w:rFonts w:hint="eastAsia" w:ascii="宋体" w:hAnsi="宋体"/>
                <w:sz w:val="16"/>
                <w:lang w:val="en-US" w:eastAsia="zh-CN"/>
              </w:rPr>
              <w:t>CRB</w:t>
            </w:r>
            <w:r>
              <w:rPr>
                <w:rFonts w:ascii="宋体" w:hAnsi="宋体" w:eastAsia="宋体"/>
                <w:sz w:val="16"/>
              </w:rPr>
              <w:t>防控经费项目（卫健委）</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rPr>
                <w:rFonts w:hint="eastAsia" w:eastAsia="宋体"/>
                <w:lang w:eastAsia="zh-CN"/>
              </w:rPr>
            </w:pPr>
            <w:r>
              <w:rPr>
                <w:rFonts w:ascii="宋体" w:hAnsi="宋体" w:eastAsia="宋体"/>
                <w:sz w:val="16"/>
              </w:rPr>
              <w:t>根据《关于提前下达2024年重大传染疾病防控经费预算的通知》克财社</w:t>
            </w:r>
            <w:r>
              <w:rPr>
                <w:rFonts w:hint="eastAsia" w:ascii="宋体" w:hAnsi="宋体"/>
                <w:sz w:val="16"/>
                <w:lang w:eastAsia="zh-CN"/>
              </w:rPr>
              <w:t>〔2023〕80号</w:t>
            </w:r>
            <w:r>
              <w:rPr>
                <w:rFonts w:ascii="宋体" w:hAnsi="宋体" w:eastAsia="宋体"/>
                <w:sz w:val="16"/>
              </w:rPr>
              <w:t>文件，下达资金2万元，主要用于妇幼卫生监测工作；通过项目的实施做好服务群众工作，提高工作效率</w:t>
            </w:r>
            <w:r>
              <w:rPr>
                <w:rFonts w:hint="eastAsia" w:ascii="宋体" w:hAnsi="宋体"/>
                <w:sz w:val="16"/>
                <w:lang w:eastAsia="zh-CN"/>
              </w:rPr>
              <w:t>。</w:t>
            </w:r>
            <w:bookmarkStart w:id="0" w:name="_GoBack"/>
            <w:bookmarkEnd w:id="0"/>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根据《关于提前下达2024年重大传染疾病防控经费预算的通知》克财社〔2023〕80号文件，下达资金2万元，本项目共计支出2万元，用于保障妇幼卫生监测工作；通过实施本项目做好服务群众工作，提高工作效率。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妇幼卫生监测站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资金下拨及时率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保障日常业务工作正常开展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2024年项目前期费用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307.89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307.89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307.89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307.89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卫生健康委员会2024年财务预算工作会议纪要》，安排项目资金307.89万元，用于支付社区卫生服务中心和吐古买提卫生院住院部建设项目前期费用等支出，达到各项业务按照计划执行，有效保障基层医疗机构医务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5.3227万元，用于支付社区卫生服务中心和吐古买提卫生院住院部建设项目前期费用等支出，涉及项目数量3个；通过实施本项目达到各项业务按照计划执行，有效保障基层医疗机构医务工作正常开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保障基层医疗机构医务工作正常开展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本年本单位SM项目</w:t>
      </w:r>
      <w:r>
        <w:rPr>
          <w:rFonts w:hint="eastAsia" w:ascii="仿宋_GB2312" w:hAnsi="仿宋_GB2312" w:eastAsia="仿宋_GB2312"/>
          <w:b w:val="0"/>
          <w:sz w:val="32"/>
          <w:lang w:val="en-US" w:eastAsia="zh-CN"/>
        </w:rPr>
        <w:t>3</w:t>
      </w:r>
      <w:r>
        <w:rPr>
          <w:rFonts w:ascii="仿宋_GB2312" w:hAnsi="仿宋_GB2312" w:eastAsia="仿宋_GB2312"/>
          <w:b w:val="0"/>
          <w:sz w:val="32"/>
        </w:rPr>
        <w:t>个，全年预算数</w:t>
      </w:r>
      <w:r>
        <w:rPr>
          <w:rFonts w:hint="eastAsia" w:ascii="仿宋_GB2312" w:hAnsi="仿宋_GB2312" w:eastAsia="仿宋_GB2312"/>
          <w:b w:val="0"/>
          <w:sz w:val="32"/>
        </w:rPr>
        <w:t>462.54</w:t>
      </w:r>
      <w:r>
        <w:rPr>
          <w:rFonts w:ascii="仿宋_GB2312" w:hAnsi="仿宋_GB2312" w:eastAsia="仿宋_GB2312"/>
          <w:b w:val="0"/>
          <w:sz w:val="32"/>
        </w:rPr>
        <w:t>万元，全年执行数</w:t>
      </w:r>
      <w:r>
        <w:rPr>
          <w:rFonts w:hint="eastAsia" w:ascii="仿宋_GB2312" w:hAnsi="仿宋_GB2312" w:eastAsia="仿宋_GB2312"/>
          <w:b w:val="0"/>
          <w:sz w:val="32"/>
        </w:rPr>
        <w:t>451.22</w:t>
      </w:r>
      <w:r>
        <w:rPr>
          <w:rFonts w:ascii="仿宋_GB2312" w:hAnsi="仿宋_GB2312" w:eastAsia="仿宋_GB2312"/>
          <w:b w:val="0"/>
          <w:sz w:val="32"/>
        </w:rPr>
        <w:t>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99650E5"/>
    <w:rsid w:val="3B1220C9"/>
    <w:rsid w:val="3D5275AC"/>
    <w:rsid w:val="3EA7725F"/>
    <w:rsid w:val="3EC014A1"/>
    <w:rsid w:val="40834692"/>
    <w:rsid w:val="423A32B2"/>
    <w:rsid w:val="423C0CB4"/>
    <w:rsid w:val="427B5743"/>
    <w:rsid w:val="42E64542"/>
    <w:rsid w:val="464B7E04"/>
    <w:rsid w:val="464F7E64"/>
    <w:rsid w:val="46901EEE"/>
    <w:rsid w:val="469C74D2"/>
    <w:rsid w:val="47445515"/>
    <w:rsid w:val="48186621"/>
    <w:rsid w:val="49351FA1"/>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8F3E1F"/>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74433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54</Pages>
  <Words>7644</Words>
  <Characters>8739</Characters>
  <Lines>0</Lines>
  <Paragraphs>0</Paragraphs>
  <TotalTime>22</TotalTime>
  <ScaleCrop>false</ScaleCrop>
  <LinksUpToDate>false</LinksUpToDate>
  <CharactersWithSpaces>8747</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2026-01-15T03:49:13Z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