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社区运转经费</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项目名称：社区运转经费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项目单位：阿图什市光明街道办事处</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主管部门：阿图什市光明街道办事处</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社区运转经费</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根据阿图什市“十四五”规划及团结组织党和群众工作发展需要，按自治区团结组织党员和群众工作要求，结合本单位团党组织和群众工作管理职能，团结组织党员和群众工作职责，开展社区运转经费项目。一是推动基层政府权力运行机制规约化。加强多渠道的监督机制建设，推动政府部门依法行政，完善政府及相关职能部门的权力清单、责任清单和负面清单，把权力关进制度的笼子里，保障权力在阳光下规范运行。对负面清单之外的公共领域，应鼓励社会组织</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市场力量积极参与，推动社区治理内生力量的培育。二是增强社会组织培育的机制韧性。社会组织是社区治理主体的重要组成部分，强化社会组织培育机制，是拓展社区治理主体的重要路径。通过发挥基于市民趣缘、业缘、地缘等元素建构的社区自组织功能，及时高效处理邻里纠纷、社区矫正、空巢老人居家养老等公共事务，以提升居民生活的社区认同感与幸福感。三是完善社区居民公共精神与公共素养的培育机制。居民作为社区核心主体，公共素养的培育有助于居民基于公共理性参与公共事务协商，并在社区协商议事等公共活动中不断锤炼自身的协商技能与决策能力。</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根据《阿图什市光明街道办事处会议纪要》，安排项目资金225万元，计划缴纳水电</w:t>
      </w:r>
      <w:r>
        <w:rPr>
          <w:rFonts w:ascii="仿宋_GB2312" w:hAnsi="仿宋_GB2312" w:cs="仿宋_GB2312" w:hint="eastAsia"/>
          <w:color w:val="auto"/>
          <w:sz w:val="32"/>
          <w:szCs w:val="30"/>
          <w:highlight w:val="none"/>
          <w:lang w:val="en-US" w:eastAsia="zh-CN"/>
        </w:rPr>
        <w:t xml:space="preserve">网络</w:t>
      </w:r>
      <w:r>
        <w:rPr>
          <w:rFonts w:ascii="仿宋_GB2312" w:hAnsi="仿宋_GB2312" w:cs="仿宋_GB2312" w:hint="eastAsia"/>
          <w:color w:val="auto"/>
          <w:sz w:val="32"/>
          <w:szCs w:val="30"/>
          <w:highlight w:val="none"/>
        </w:rPr>
        <w:t xml:space="preserve">、电话费12个月，采购办公用品次数12次，印刷各类宣传材料数量10万份，日常设施维修次数12次，开展各类活动次数12次；项目实施后将加强基层组织建设，保障街道社区工作正常开展，推动社区发展，提高居民素质，维护社会稳定。</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光明街道办事处,实施单位为阿图什市光明街道办事处，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2</w:t>
      </w:r>
      <w:r>
        <w:rPr>
          <w:rStyle w:val="Strong"/>
          <w:rFonts w:ascii="仿宋_GB2312" w:hAnsi="仿宋_GB2312" w:cs="仿宋_GB2312" w:hint="eastAsia"/>
          <w:b w:val="0"/>
          <w:bCs w:val="0"/>
          <w:color w:val="auto"/>
          <w:spacing w:val="-4"/>
          <w:sz w:val="32"/>
          <w:szCs w:val="30"/>
          <w:highlight w:val="none"/>
          <w:lang w:val="en-US" w:eastAsia="zh-CN"/>
        </w:rPr>
        <w:t xml:space="preserve">25</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资金使用情况：根据项目实施情况，项目资金实际支付186.1396万元，资金执行率达到</w:t>
      </w:r>
      <w:r>
        <w:rPr>
          <w:rStyle w:val="Strong"/>
          <w:rFonts w:ascii="仿宋_GB2312" w:hAnsi="仿宋_GB2312" w:cs="仿宋_GB2312" w:hint="eastAsia"/>
          <w:b w:val="0"/>
          <w:color w:val="auto"/>
          <w:spacing w:val="-4"/>
          <w:sz w:val="32"/>
          <w:szCs w:val="30"/>
          <w:highlight w:val="none"/>
          <w:lang w:val="en-US" w:eastAsia="zh-CN"/>
        </w:rPr>
        <w:t xml:space="preserve">8</w:t>
      </w:r>
      <w:r>
        <w:rPr>
          <w:rStyle w:val="Strong"/>
          <w:rFonts w:ascii="仿宋_GB2312" w:hAnsi="仿宋_GB2312" w:cs="仿宋_GB2312" w:hint="eastAsia"/>
          <w:b w:val="0"/>
          <w:color w:val="auto"/>
          <w:spacing w:val="-4"/>
          <w:sz w:val="32"/>
          <w:szCs w:val="30"/>
          <w:highlight w:val="none"/>
          <w:lang w:val="en-US" w:eastAsia="zh-CN"/>
        </w:rPr>
        <w:t xml:space="preserve">2.7</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采购办公用品成本</w:t>
      </w:r>
      <w:r>
        <w:rPr>
          <w:rFonts w:ascii="仿宋_GB2312" w:hAnsi="仿宋_GB2312" w:cs="仿宋_GB2312" w:hint="eastAsia"/>
          <w:color w:val="auto"/>
          <w:szCs w:val="30"/>
          <w:highlight w:val="none"/>
          <w:lang w:eastAsia="zh-CN"/>
        </w:rPr>
        <w:t xml:space="preserve">：</w:t>
      </w:r>
      <w:r>
        <w:rPr>
          <w:rFonts w:ascii="仿宋_GB2312" w:hAnsi="仿宋_GB2312" w:cs="仿宋_GB2312" w:hint="eastAsia"/>
          <w:color w:val="auto"/>
          <w:szCs w:val="30"/>
          <w:highlight w:val="none"/>
        </w:rPr>
        <w:t xml:space="preserve">128.6391万元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印刷各类宣传材料成本</w:t>
      </w:r>
      <w:r>
        <w:rPr>
          <w:rFonts w:ascii="仿宋_GB2312" w:hAnsi="仿宋_GB2312" w:cs="仿宋_GB2312" w:hint="eastAsia"/>
          <w:color w:val="auto"/>
          <w:szCs w:val="30"/>
          <w:highlight w:val="none"/>
        </w:rPr>
        <w:tab/>
      </w:r>
      <w:r>
        <w:rPr>
          <w:rFonts w:ascii="仿宋_GB2312" w:hAnsi="仿宋_GB2312" w:cs="仿宋_GB2312" w:hint="eastAsia"/>
          <w:color w:val="auto"/>
          <w:szCs w:val="30"/>
          <w:highlight w:val="none"/>
          <w:lang w:eastAsia="zh-CN"/>
        </w:rPr>
        <w:t xml:space="preserve">：</w:t>
      </w:r>
      <w:r>
        <w:rPr>
          <w:rFonts w:ascii="仿宋_GB2312" w:hAnsi="仿宋_GB2312" w:cs="仿宋_GB2312" w:hint="eastAsia"/>
          <w:color w:val="auto"/>
          <w:szCs w:val="30"/>
          <w:highlight w:val="none"/>
        </w:rPr>
        <w:t xml:space="preserve">5.2812万元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日常设施维修成本</w:t>
      </w:r>
      <w:r>
        <w:rPr>
          <w:rFonts w:ascii="仿宋_GB2312" w:hAnsi="仿宋_GB2312" w:cs="仿宋_GB2312" w:hint="eastAsia"/>
          <w:color w:val="auto"/>
          <w:szCs w:val="30"/>
          <w:highlight w:val="none"/>
          <w:lang w:eastAsia="zh-CN"/>
        </w:rPr>
        <w:t xml:space="preserve">：</w:t>
      </w:r>
      <w:r>
        <w:rPr>
          <w:rFonts w:ascii="仿宋_GB2312" w:hAnsi="仿宋_GB2312" w:cs="仿宋_GB2312" w:hint="eastAsia"/>
          <w:color w:val="auto"/>
          <w:szCs w:val="30"/>
          <w:highlight w:val="none"/>
        </w:rPr>
        <w:t xml:space="preserve">17.5793万元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Fonts w:ascii="仿宋_GB2312" w:hAnsi="仿宋_GB2312" w:cs="仿宋_GB2312" w:hint="eastAsia"/>
          <w:color w:val="auto"/>
          <w:szCs w:val="30"/>
          <w:highlight w:val="none"/>
        </w:rPr>
      </w:pPr>
      <w:r>
        <w:rPr>
          <w:rFonts w:ascii="仿宋_GB2312" w:hAnsi="仿宋_GB2312" w:cs="仿宋_GB2312" w:hint="eastAsia"/>
          <w:color w:val="auto"/>
          <w:szCs w:val="30"/>
          <w:highlight w:val="none"/>
        </w:rPr>
        <w:t xml:space="preserve">开展各类活动成本</w:t>
      </w:r>
      <w:r>
        <w:rPr>
          <w:rFonts w:ascii="仿宋_GB2312" w:hAnsi="仿宋_GB2312" w:cs="仿宋_GB2312" w:hint="eastAsia"/>
          <w:color w:val="auto"/>
          <w:szCs w:val="30"/>
          <w:highlight w:val="none"/>
          <w:lang w:eastAsia="zh-CN"/>
        </w:rPr>
        <w:t xml:space="preserve">：</w:t>
      </w:r>
      <w:r>
        <w:rPr>
          <w:rFonts w:ascii="仿宋_GB2312" w:hAnsi="仿宋_GB2312" w:cs="仿宋_GB2312" w:hint="eastAsia"/>
          <w:color w:val="auto"/>
          <w:szCs w:val="30"/>
          <w:highlight w:val="none"/>
        </w:rPr>
        <w:t xml:space="preserve">34.64万元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阿图什市光明街道办事处会议纪要》，安排项目资金225万元，计划缴纳水电网络、电话费12个月，采购办公用品次数12次，印刷各类宣传材料数量10万份，日常设施维修次数12次，开展各类活动次数12次；项目实施后将加强基层组织建设，保障街道社区工作正常开展，推动社区发展，提高居民素质，维护社会稳定。</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等相关政策文件与规定，绩效评价旨在评价本项目前期审批、实施过程及实施效果，促进预算管理不断完善，加快绩效目标的实现，保证财政资金有效、合理使用，具体绩效评价的目的细分如下：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社区运转经费</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社区运转经费</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社区运转经费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社区运转经费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931"/>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93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3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陈华英</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3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穆拉迪力·赛都拉</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93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龚兴磊</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社区运转经费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组织管理、产出与效益效果。在此基础上，以相关的项目数据为基础，综合运用不同的评价方法，结合评价标准和评分规则，社区运转经费综合得分为97.33分，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年社区运转经费评价得分情况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651"/>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73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63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16.13</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预算执行率扣0.87分</w:t>
            </w:r>
          </w:p>
        </w:tc>
      </w:tr>
      <w:tr>
        <w:tblPrEx>
          <w:tblW w:w="9309" w:type="dxa"/>
          <w:tblLayout w:type="fixed"/>
          <w:tblCellMar>
            <w:top w:w="0" w:type="dxa"/>
            <w:left w:w="10" w:type="dxa"/>
            <w:bottom w:w="0" w:type="dxa"/>
            <w:right w:w="10" w:type="dxa"/>
          </w:tblCellMar>
        </w:tblPrEx>
        <w:trPr>
          <w:trHeight w:hRule="exact" w:val="104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28.2</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数量指标扣0.8分</w:t>
            </w:r>
          </w:p>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成本指标扣1分</w:t>
            </w:r>
          </w:p>
        </w:tc>
      </w:tr>
      <w:tr>
        <w:tblPrEx>
          <w:tblW w:w="9309" w:type="dxa"/>
          <w:tblLayout w:type="fixed"/>
          <w:tblCellMar>
            <w:top w:w="0" w:type="dxa"/>
            <w:left w:w="10" w:type="dxa"/>
            <w:bottom w:w="0" w:type="dxa"/>
            <w:right w:w="10" w:type="dxa"/>
          </w:tblCellMar>
        </w:tblPrEx>
        <w:trPr>
          <w:trHeight w:hRule="exact" w:val="636"/>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676"/>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97.33</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采购办公用品次数12次，印刷各类宣传材料数量6万份，日常设施维修次数12次，开展各类活动次数12次等工作；通过该项目的实施加强基层组织建设，保障街道社区工作正常开展，推动社区发展，提高居民素质，维护社会稳定。</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支出共计186.1396万元，评价得分值</w:t>
      </w:r>
      <w:r>
        <w:rPr>
          <w:rFonts w:ascii="仿宋_GB2312" w:hAnsi="仿宋_GB2312" w:cs="仿宋_GB2312" w:hint="eastAsia"/>
          <w:color w:val="auto"/>
          <w:sz w:val="32"/>
          <w:szCs w:val="32"/>
          <w:highlight w:val="none"/>
          <w:lang w:val="en-US" w:eastAsia="zh-CN"/>
        </w:rPr>
        <w:t xml:space="preserve">97.33</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社区运转经费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数量指标为采购办公用品次数，预期指标值是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eastAsia="仿宋_GB2312" w:hAnsi="仿宋_GB2312" w:cs="仿宋_GB2312" w:hint="eastAsia"/>
          <w:color w:val="auto"/>
          <w:sz w:val="32"/>
          <w:szCs w:val="32"/>
          <w:highlight w:val="none"/>
          <w:lang w:eastAsia="zh-CN"/>
        </w:rPr>
      </w:pPr>
      <w:r>
        <w:rPr>
          <w:rFonts w:ascii="仿宋_GB2312" w:hAnsi="仿宋_GB2312" w:cs="仿宋_GB2312" w:hint="eastAsia"/>
          <w:color w:val="auto"/>
          <w:sz w:val="32"/>
          <w:szCs w:val="32"/>
          <w:highlight w:val="none"/>
        </w:rPr>
        <w:t xml:space="preserve">数量指标为印刷各类宣传材料数量，预期指标值是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10万份，实际完成值是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6万份，指标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达到预期目标。原因：项目年初预算指标不够精准，导致指标存在偏差；措施：下一年度做好计划及项目管理，减少实施过程中的偏差</w:t>
      </w:r>
      <w:r>
        <w:rPr>
          <w:rFonts w:ascii="仿宋_GB2312" w:hAnsi="仿宋_GB2312" w:cs="仿宋_GB2312" w:hint="eastAsia"/>
          <w:color w:val="auto"/>
          <w:sz w:val="32"/>
          <w:szCs w:val="32"/>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数量指标为日常设施维修次数，预期指标值是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12次，指标达到预期目标。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数量指标为开展各类活动次数，预期指标值是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12次，实际完成值是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12次，指标达到预期目标。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时效指标为项目结束时间，预期指标值是2024年12月，实际完成值是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成本指标为采购办公用品成本，预期指标值是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120万元，实际完成值是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128.6391万元，指标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成本指标为印刷各类宣传材料成本，预期指标值是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5.2812万元，指标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成本指标为日常设施维修成本，预期指标值是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17.5793万元，指标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成本指标为开展各类活动成本，预期指标值是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35万元，实际完成值是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34.64万元，指标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指标为保障街道社区工作正常开展，预期指标值是有效保障，实际完成值是有效保障，指标达到预期目标。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225</w:t>
      </w:r>
      <w:r>
        <w:rPr>
          <w:rFonts w:hint="eastAsia"/>
          <w:color w:val="auto"/>
          <w:sz w:val="32"/>
          <w:highlight w:val="none"/>
        </w:rPr>
        <w:t xml:space="preserve">万元，执行数186.1396万元，执行率</w:t>
      </w:r>
      <w:r>
        <w:rPr>
          <w:rFonts w:hint="eastAsia"/>
          <w:color w:val="auto"/>
          <w:sz w:val="32"/>
          <w:highlight w:val="none"/>
          <w:lang w:val="en-US" w:eastAsia="zh-CN"/>
        </w:rPr>
        <w:t xml:space="preserve">82.7</w:t>
      </w:r>
      <w:r>
        <w:rPr>
          <w:rFonts w:hint="eastAsia"/>
          <w:color w:val="auto"/>
          <w:sz w:val="32"/>
          <w:highlight w:val="none"/>
        </w:rPr>
        <w:t xml:space="preserve">%，绩效指标完成率</w:t>
      </w:r>
      <w:r>
        <w:rPr>
          <w:rFonts w:hint="eastAsia"/>
          <w:color w:val="auto"/>
          <w:sz w:val="32"/>
          <w:highlight w:val="none"/>
          <w:lang w:val="en-US" w:eastAsia="zh-CN"/>
        </w:rPr>
        <w:t xml:space="preserve">91.8</w:t>
      </w:r>
      <w:r>
        <w:rPr>
          <w:rFonts w:hint="eastAsia"/>
          <w:color w:val="auto"/>
          <w:sz w:val="32"/>
          <w:highlight w:val="none"/>
        </w:rPr>
        <w:t xml:space="preserve">%，偏差率</w:t>
      </w:r>
      <w:r>
        <w:rPr>
          <w:rFonts w:hint="eastAsia"/>
          <w:color w:val="auto"/>
          <w:sz w:val="32"/>
          <w:highlight w:val="none"/>
          <w:lang w:val="en-US" w:eastAsia="zh-CN"/>
        </w:rPr>
        <w:t xml:space="preserve">9.1</w:t>
      </w:r>
      <w:r>
        <w:rPr>
          <w:rFonts w:hint="eastAsia"/>
          <w:color w:val="auto"/>
          <w:sz w:val="32"/>
          <w:highlight w:val="none"/>
        </w:rPr>
        <w:t xml:space="preserve">%。偏差原因：项目部分支出资料及手续不完整，导致指标未能完成。</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4.13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7.2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97.33</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58C33BE6A8864230A2C2DDCBFC2E7799_13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11</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2025-09-05T07:54:18Z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58C33BE6A8864230A2C2DDCBFC2E7799_13</vt:lpwstr>
  </property>
  <property fmtid="{D5CDD505-2E9C-101B-9397-08002B2CF9AE}" pid="4" name="KSOTemplateDocerSaveRecord">
    <vt:lpwstr>eyJoZGlkIjoiYzZkNzQ4ZWFiZmQ4NTRhOWRkZTk3YTMwMjlmMmZhYmUiLCJ1c2VySWQiOiI1NzgxMjU4NDIifQ_x003D__x003D_</vt:lpwstr>
  </property>
</Properties>
</file>