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阿图什市硝鲁克中学2024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正确贯彻执行党和国家的教育方针、政策、法规。</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维护学校的教学秩序，为学生创造良好的学习环境。</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根据学校规模，设置学校管理机构，建立健全各项规章制度和岗位责任制。</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坚持教书育人</w:t>
      </w:r>
      <w:r>
        <w:rPr>
          <w:rFonts w:hint="eastAsia" w:ascii="仿宋_GB2312" w:hAnsi="仿宋_GB2312" w:eastAsia="仿宋_GB2312"/>
          <w:sz w:val="32"/>
          <w:lang w:eastAsia="zh-CN"/>
        </w:rPr>
        <w:t>、</w:t>
      </w:r>
      <w:r>
        <w:rPr>
          <w:rFonts w:ascii="仿宋_GB2312" w:hAnsi="仿宋_GB2312" w:eastAsia="仿宋_GB2312"/>
          <w:sz w:val="32"/>
        </w:rPr>
        <w:t>服务育人</w:t>
      </w:r>
      <w:r>
        <w:rPr>
          <w:rFonts w:hint="eastAsia" w:ascii="仿宋_GB2312" w:hAnsi="仿宋_GB2312" w:eastAsia="仿宋_GB2312"/>
          <w:sz w:val="32"/>
          <w:lang w:eastAsia="zh-CN"/>
        </w:rPr>
        <w:t>、</w:t>
      </w:r>
      <w:r>
        <w:rPr>
          <w:rFonts w:ascii="仿宋_GB2312" w:hAnsi="仿宋_GB2312" w:eastAsia="仿宋_GB2312"/>
          <w:sz w:val="32"/>
        </w:rPr>
        <w:t>环境育人方针，加强对学生思想品德教育，使</w:t>
      </w:r>
      <w:r>
        <w:rPr>
          <w:rFonts w:hint="eastAsia" w:ascii="仿宋_GB2312" w:hAnsi="仿宋_GB2312" w:eastAsia="仿宋_GB2312"/>
          <w:sz w:val="32"/>
          <w:lang w:eastAsia="zh-CN"/>
        </w:rPr>
        <w:t>学生</w:t>
      </w:r>
      <w:r>
        <w:rPr>
          <w:rFonts w:ascii="仿宋_GB2312" w:hAnsi="仿宋_GB2312" w:eastAsia="仿宋_GB2312"/>
          <w:sz w:val="32"/>
        </w:rPr>
        <w:t>德智体全面发展。</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抓好教师队伍建设，使每个教师都热心于教育事业。</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阿图什市硝鲁克中学2024年度，实有人数390人，其中：在职人员349人，增加164人；离休人员0人，增加0人；退休人员41人,增加11人。</w:t>
      </w:r>
    </w:p>
    <w:p>
      <w:pPr>
        <w:spacing w:line="580" w:lineRule="exact"/>
        <w:ind w:firstLine="640"/>
        <w:jc w:val="both"/>
      </w:pPr>
      <w:r>
        <w:rPr>
          <w:rFonts w:ascii="仿宋_GB2312" w:hAnsi="仿宋_GB2312" w:eastAsia="仿宋_GB2312"/>
          <w:sz w:val="32"/>
        </w:rPr>
        <w:t>阿图什市硝鲁克中学无下属预算单位，下设7个科室，分别是：办公室、教务处、教研室、党纪室、财务室、安全办公室、医务室。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2024年度收入总计5,153.90万元，</w:t>
      </w:r>
      <w:r>
        <w:rPr>
          <w:rFonts w:ascii="仿宋_GB2312" w:hAnsi="仿宋_GB2312" w:eastAsia="仿宋_GB2312"/>
          <w:b w:val="0"/>
          <w:sz w:val="32"/>
        </w:rPr>
        <w:t>其中：本年收入合计5,143.16万元，使用非财政拨款结余（含专用结余）0.00万元，年初结转和结余10.75万元。</w:t>
      </w:r>
    </w:p>
    <w:p>
      <w:pPr>
        <w:spacing w:line="580" w:lineRule="exact"/>
        <w:ind w:firstLine="640"/>
        <w:jc w:val="both"/>
      </w:pPr>
      <w:r>
        <w:rPr>
          <w:rFonts w:ascii="仿宋_GB2312" w:hAnsi="仿宋_GB2312" w:eastAsia="仿宋_GB2312"/>
          <w:b/>
          <w:sz w:val="32"/>
        </w:rPr>
        <w:t>2024年度支出总计5,153.90万元，</w:t>
      </w:r>
      <w:r>
        <w:rPr>
          <w:rFonts w:ascii="仿宋_GB2312" w:hAnsi="仿宋_GB2312" w:eastAsia="仿宋_GB2312"/>
          <w:b w:val="0"/>
          <w:sz w:val="32"/>
        </w:rPr>
        <w:t>其中：本年支出合计5,143.98万元，结余分配0.00万元，年末结转和结余9.93万元。</w:t>
      </w:r>
    </w:p>
    <w:p>
      <w:pPr>
        <w:spacing w:line="580" w:lineRule="exact"/>
        <w:ind w:firstLine="640"/>
        <w:jc w:val="both"/>
      </w:pPr>
      <w:r>
        <w:rPr>
          <w:rFonts w:ascii="仿宋_GB2312" w:hAnsi="仿宋_GB2312" w:eastAsia="仿宋_GB2312"/>
          <w:b w:val="0"/>
          <w:sz w:val="32"/>
        </w:rPr>
        <w:t>收入支出总体与上年相比，增加878.72万元，增长20.55%，主要原因是：本年在职人员增加，在职人员工资调增、社保、公积金基数调增，人员经费增加。本年补发绩效工资。</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本年收入5,143.16万元，</w:t>
      </w:r>
      <w:r>
        <w:rPr>
          <w:rFonts w:ascii="仿宋_GB2312" w:hAnsi="仿宋_GB2312" w:eastAsia="仿宋_GB2312"/>
          <w:b w:val="0"/>
          <w:sz w:val="32"/>
        </w:rPr>
        <w:t>其中：财政拨款收入5,140.79万元，占99.95%；上级补助收入0.00万元，占0.00%；事业收入0.00万元，占0.00%；经营收入0.00万元，占0.00%；附属单位上缴收入0.00万元，占0.00%；其他收入2.37万元，占0.05%。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本年支出5,143.98万元，</w:t>
      </w:r>
      <w:r>
        <w:rPr>
          <w:rFonts w:ascii="仿宋_GB2312" w:hAnsi="仿宋_GB2312" w:eastAsia="仿宋_GB2312"/>
          <w:b w:val="0"/>
          <w:sz w:val="32"/>
        </w:rPr>
        <w:t>其中：基本支出4,109.51万元，占79.89%；项目支出1,034.47万元，占20.11%；上缴上级支出0.00万元，占0.00%；经营支出0.00万元，占0.00%；对附属单位补助支出0.00万元，占0.00%。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2024年度财政拨款收入总计5,140.79万元，</w:t>
      </w:r>
      <w:r>
        <w:rPr>
          <w:rFonts w:ascii="仿宋_GB2312" w:hAnsi="仿宋_GB2312" w:eastAsia="仿宋_GB2312"/>
          <w:b w:val="0"/>
          <w:sz w:val="32"/>
        </w:rPr>
        <w:t>其中：年初财政拨款结转和结余0.00万元，本年财政拨款收入5,140.79万元。</w:t>
      </w:r>
      <w:r>
        <w:rPr>
          <w:rFonts w:ascii="仿宋_GB2312" w:hAnsi="仿宋_GB2312" w:eastAsia="仿宋_GB2312"/>
          <w:b/>
          <w:sz w:val="32"/>
        </w:rPr>
        <w:t>财政拨款支出总计5,140.79万元，</w:t>
      </w:r>
      <w:r>
        <w:rPr>
          <w:rFonts w:ascii="仿宋_GB2312" w:hAnsi="仿宋_GB2312" w:eastAsia="仿宋_GB2312"/>
          <w:b w:val="0"/>
          <w:sz w:val="32"/>
        </w:rPr>
        <w:t>其中：年末财政拨款结转和结余0.00万元，本年财政拨款支出5,140.79万元。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增加892.52万元，增长21.01%，主要原因是：本年在职人员增加，在职人员工资调增、社保、公积金基数调增，人员经费增加。本年补发绩效工资。</w:t>
      </w:r>
      <w:r>
        <w:rPr>
          <w:rFonts w:ascii="仿宋_GB2312" w:hAnsi="仿宋_GB2312" w:eastAsia="仿宋_GB2312"/>
          <w:b/>
          <w:sz w:val="32"/>
        </w:rPr>
        <w:t>与年初预算相比，</w:t>
      </w:r>
      <w:r>
        <w:rPr>
          <w:rFonts w:ascii="仿宋_GB2312" w:hAnsi="仿宋_GB2312" w:eastAsia="仿宋_GB2312"/>
          <w:b w:val="0"/>
          <w:sz w:val="32"/>
        </w:rPr>
        <w:t>年初预算数3,512.17万元，决算数5,140.79万元，预决算差异率46.37%，主要原因是：本年在职人员增加，年中追加人员工资、社保、公积金基数调增部分资金，导致预决算存在差异。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2024年度一般公共预算财政拨款支出5,140.79万元，</w:t>
      </w:r>
      <w:r>
        <w:rPr>
          <w:rFonts w:ascii="仿宋_GB2312" w:hAnsi="仿宋_GB2312" w:eastAsia="仿宋_GB2312"/>
          <w:b w:val="0"/>
          <w:sz w:val="32"/>
        </w:rPr>
        <w:t>占本年支出合计的99.94%。</w:t>
      </w:r>
      <w:r>
        <w:rPr>
          <w:rFonts w:ascii="仿宋_GB2312" w:hAnsi="仿宋_GB2312" w:eastAsia="仿宋_GB2312"/>
          <w:b/>
          <w:sz w:val="32"/>
        </w:rPr>
        <w:t>与上年相比，</w:t>
      </w:r>
      <w:r>
        <w:rPr>
          <w:rFonts w:ascii="仿宋_GB2312" w:hAnsi="仿宋_GB2312" w:eastAsia="仿宋_GB2312"/>
          <w:b w:val="0"/>
          <w:sz w:val="32"/>
        </w:rPr>
        <w:t>增加892.52万元，增长21.01%，主要原因是：本年在职人员增加，在职人员工资调增、社保、公积金基数调增，人员经费增加。本年补发绩效工资。</w:t>
      </w:r>
      <w:r>
        <w:rPr>
          <w:rFonts w:ascii="仿宋_GB2312" w:hAnsi="仿宋_GB2312" w:eastAsia="仿宋_GB2312"/>
          <w:b/>
          <w:sz w:val="32"/>
        </w:rPr>
        <w:t>与年初预算相比,</w:t>
      </w:r>
      <w:r>
        <w:rPr>
          <w:rFonts w:ascii="仿宋_GB2312" w:hAnsi="仿宋_GB2312" w:eastAsia="仿宋_GB2312"/>
          <w:b w:val="0"/>
          <w:sz w:val="32"/>
        </w:rPr>
        <w:t>年初预算数3,512.17万元，决算数5,140.79万元，预决算差异率46.37%，主要原因是：本年在职人员增加，年中追加人员工资、社保、公积金基数调增部分资金，导致预决算存在差异。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1.教育支出(类)5,140.79万元,占100.00%。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5,026.43万元，比上年决算增加1,332.81万元，增长36.08%,主要原因是：本年在职人员增加，在职人员工资调增，导致相关人员经费较上年有所增加。本年功能科目调整，养老保险缴费、职业年金缴费、住房公积金上年度单独列支，本年调整至主科目列支，导致经费较上年增加。</w:t>
      </w:r>
    </w:p>
    <w:p>
      <w:pPr>
        <w:spacing w:line="580" w:lineRule="exact"/>
        <w:ind w:firstLine="640"/>
        <w:jc w:val="both"/>
      </w:pPr>
      <w:r>
        <w:rPr>
          <w:rFonts w:ascii="仿宋_GB2312" w:hAnsi="仿宋_GB2312" w:eastAsia="仿宋_GB2312"/>
          <w:b w:val="0"/>
          <w:sz w:val="32"/>
        </w:rPr>
        <w:t>2.教育支出(类)普通教育(款)高中教育(项):支出决算数为0.00万元，比上年决算减少0.25万元，下降100.00%,主要原因是：本年减少保安工资，导致此科目无支出。</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114.36万元，比上年决算增加114.36万元，增长100.00%,主要原因是：本年增加硝鲁克中学生活补助款项目支出，导致此科目经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0.00万元，比上年决算减少266.06万元，下降100.00%,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73.69万元，下降100.00%,主要原因是：本年功能科目调整，机关事业单位职业年金缴费上年度单独列支，本年调整至主科目列支，导致经费较上年减少。</w:t>
      </w:r>
    </w:p>
    <w:p>
      <w:pPr>
        <w:spacing w:line="580" w:lineRule="exact"/>
        <w:ind w:firstLine="640"/>
        <w:jc w:val="both"/>
      </w:pPr>
      <w:r>
        <w:rPr>
          <w:rFonts w:ascii="仿宋_GB2312" w:hAnsi="仿宋_GB2312" w:eastAsia="仿宋_GB2312"/>
          <w:b w:val="0"/>
          <w:sz w:val="32"/>
        </w:rPr>
        <w:t>6.社会保障和就业支出(类)抚恤(款)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抚恤(项):支出决算数为0.00万元，比上年决算减少7.83万元，下降100.00%,主要原因是：本年无新增</w:t>
      </w:r>
      <w:r>
        <w:rPr>
          <w:rFonts w:hint="eastAsia" w:ascii="仿宋_GB2312" w:hAnsi="仿宋_GB2312" w:eastAsia="仿宋_GB2312"/>
          <w:b w:val="0"/>
          <w:sz w:val="32"/>
          <w:lang w:val="en-US" w:eastAsia="zh-CN"/>
        </w:rPr>
        <w:t>死亡</w:t>
      </w:r>
      <w:r>
        <w:rPr>
          <w:rFonts w:ascii="仿宋_GB2312" w:hAnsi="仿宋_GB2312" w:eastAsia="仿宋_GB2312"/>
          <w:b w:val="0"/>
          <w:sz w:val="32"/>
        </w:rPr>
        <w:t>人员，</w:t>
      </w:r>
      <w:r>
        <w:rPr>
          <w:rFonts w:hint="eastAsia" w:ascii="仿宋_GB2312" w:hAnsi="仿宋_GB2312" w:eastAsia="仿宋_GB2312"/>
          <w:b w:val="0"/>
          <w:sz w:val="32"/>
          <w:lang w:val="en-US" w:eastAsia="zh-CN"/>
        </w:rPr>
        <w:t>死亡</w:t>
      </w:r>
      <w:r>
        <w:rPr>
          <w:rFonts w:ascii="仿宋_GB2312" w:hAnsi="仿宋_GB2312" w:eastAsia="仿宋_GB2312"/>
          <w:b w:val="0"/>
          <w:sz w:val="32"/>
        </w:rPr>
        <w:t>抚恤支出较上年减少。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0.00万元，比上年决算减少206.82万元，下降100.00%,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2024年度一般公共预算财政拨款基本支出4,109.51万元，其中：</w:t>
      </w:r>
      <w:r>
        <w:rPr>
          <w:rFonts w:ascii="仿宋_GB2312" w:hAnsi="仿宋_GB2312" w:eastAsia="仿宋_GB2312"/>
          <w:b/>
          <w:sz w:val="32"/>
        </w:rPr>
        <w:t>人员经费4,034.17万元，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公用经费75.34万元，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2024年度阿图什市硝鲁克中学（事业单位）公用经费支出75.34万元，比上年减少27.33万元，下降26.62%，主要原因是：本年减少其他交通费用支出，导致公用经费减少。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2024年度政府采购支出总额189.46万元，其中：政府采购货物支出102.64万元、政府采购工程支出54.11万元、政府采购服务支出32.71万元。</w:t>
      </w:r>
    </w:p>
    <w:p>
      <w:pPr>
        <w:spacing w:line="580" w:lineRule="exact"/>
        <w:ind w:firstLine="640"/>
        <w:jc w:val="both"/>
      </w:pPr>
      <w:r>
        <w:rPr>
          <w:rFonts w:ascii="仿宋_GB2312" w:hAnsi="仿宋_GB2312" w:eastAsia="仿宋_GB2312"/>
          <w:b w:val="0"/>
          <w:sz w:val="32"/>
        </w:rPr>
        <w:t>授予中小企业合同金额141.60万元，占政府采购支出总额的74.74%，其中：授予小微企业合同金额134.76万元，占政府采购支出总额的71.13%。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27,401.60平方米，价值3,239.89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5,153.90万元，实际执行总额5,143.98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阿图什市硝鲁克中学</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5,153.90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5,143.98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4,236.98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4,227.06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机构设置及人员配置：无下属预算单位，下设11个科室，编制数185，实有人数225人，在职185人，退休30人。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次工作，使教研教改共同代全校基础工作蓬勃发展。 </w:t>
            </w:r>
            <w:r>
              <w:rPr>
                <w:rFonts w:ascii="宋体" w:hAnsi="宋体" w:eastAsia="宋体"/>
                <w:sz w:val="16"/>
              </w:rPr>
              <w:br w:type="textWrapping"/>
            </w:r>
            <w:r>
              <w:rPr>
                <w:rFonts w:ascii="宋体" w:hAnsi="宋体" w:eastAsia="宋体"/>
                <w:sz w:val="16"/>
              </w:rPr>
              <w:t xml:space="preserve">  保障单位在职185人，退休30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5143.98万元，用于保障部门在职185人，退休30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交通安全知识讲座30次，教师培训人数350人，保障单位日常运转期限12个月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15.43</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教育</w:t>
            </w:r>
            <w:bookmarkStart w:id="0" w:name="_GoBack"/>
            <w:bookmarkEnd w:id="0"/>
            <w:r>
              <w:rPr>
                <w:rFonts w:ascii="宋体" w:hAnsi="宋体" w:eastAsia="宋体"/>
                <w:sz w:val="16"/>
              </w:rPr>
              <w:t>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052B34"/>
    <w:rsid w:val="25275618"/>
    <w:rsid w:val="27CE017C"/>
    <w:rsid w:val="27CF2642"/>
    <w:rsid w:val="282459E2"/>
    <w:rsid w:val="29116777"/>
    <w:rsid w:val="2A053397"/>
    <w:rsid w:val="2A444FB1"/>
    <w:rsid w:val="2A6064E2"/>
    <w:rsid w:val="2AF33599"/>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5E68A1"/>
    <w:rsid w:val="40834692"/>
    <w:rsid w:val="423A32B2"/>
    <w:rsid w:val="423C0CB4"/>
    <w:rsid w:val="427B5743"/>
    <w:rsid w:val="42E64542"/>
    <w:rsid w:val="439D5210"/>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3FF21EE"/>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6233</Words>
  <Characters>7088</Characters>
  <Lines>0</Lines>
  <Paragraphs>0</Paragraphs>
  <TotalTime>73</TotalTime>
  <ScaleCrop>false</ScaleCrop>
  <LinksUpToDate>false</LinksUpToDate>
  <CharactersWithSpaces>7103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2025-09-19T11:18:11Z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eyJoZGlkIjoiNTI1YjZjNWU3OWYyMDg0MTE1NTQ2MDk1OTA4YjU2ZjIiLCJ1c2VySWQiOiIxMDY0NzI0MTYxIn0=</vt:lpwstr>
  </property>
</Properties>
</file>